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anomaly_corpus_error_detection</w:t>
      </w:r>
    </w:p>
    <w:p>
      <w:r>
        <w:t xml:space="preserve"> </w:t>
      </w:r>
    </w:p>
    <w:p>
      <w:pPr>
        <w:pStyle w:val="Heading2"/>
      </w:pPr>
      <w:r>
        <w:t>Title</w:t>
      </w:r>
    </w:p>
    <w:p>
      <w:r>
        <w:t>Density-and-reconstruction-based anomaly detection for automated identification and localization of annotation errors in corpora</w:t>
      </w:r>
    </w:p>
    <w:p>
      <w:r>
        <w:t xml:space="preserve"> </w:t>
      </w:r>
    </w:p>
    <w:p>
      <w:pPr>
        <w:pStyle w:val="Heading2"/>
      </w:pPr>
      <w:r>
        <w:t>Short Hypothesis</w:t>
      </w:r>
    </w:p>
    <w:p>
      <w:r>
        <w:t>Fitting a learned probability model over corpus features and flagging low-likelihood elements as anomalies will increase precision of annotation-error detection while maintaining comparable recall to strong baselines.</w:t>
      </w:r>
    </w:p>
    <w:p>
      <w:r>
        <w:t xml:space="preserve"> </w:t>
      </w:r>
    </w:p>
    <w:p>
      <w:pPr>
        <w:pStyle w:val="Heading2"/>
      </w:pPr>
      <w:r>
        <w:t>Related Work</w:t>
      </w:r>
    </w:p>
    <w:p>
      <w:r>
        <w:t>Prior work uses reconstruction models (autoencoders) and latent-density estimators (variational inference, normalizing flows) to detect anomalous records, and recent approaches augment unsupervised detection with contrastive pretraining and graph neural networks for contextual signals. Synthetic corruption pipelines (rule-based and model-based) are commonly used to create training signal. Key limitations remain: (1) many systems provide only document-level anomaly scores and lack explicit span localization for actionable corrections; (2) synthetic errors often differ from real annotation errors (a realism gap), undermining generalization; (3) calibration and uncertainty estimates are weak when anomalies are rare, harming triage; (4) reproducibility is limited by underspecified tokenization, randomness, and missing seeds; (5) operator/novelty spaces for adversarial tests are often informal, preventing precise coverage guarantees.</w:t>
      </w:r>
    </w:p>
    <w:p>
      <w:r>
        <w:t xml:space="preserve"> </w:t>
      </w:r>
    </w:p>
    <w:p>
      <w:pPr>
        <w:pStyle w:val="Heading2"/>
      </w:pPr>
      <w:r>
        <w:t>Abstract</w:t>
      </w:r>
    </w:p>
    <w:p>
      <w:r>
        <w:t>We address automated detection and localization of annotation errors in text corpora by combining density estimation over learned latent representations with reconstruction-based anomaly signals and a span-localization head. The approach fits a distribution of "normal" annotated elements and treats low-likelihood elements as candidate errors, producing both document-level scores and token-span-level alerts. Main contributions are: (1) a reproducible corpus curation recipe including a multi-granular error taxonomy and synthetic corruption families; (2) a realism-calibration pilot that maps automated similarity metrics to human noticeability; and (3) a formal novelty metric for adversarial holdouts that quantifies coverage and hardness. Expected outcomes are improved precision in flagged annotation errors, interpretable span localization for human review, and an open benchmark with pre-registered evaluation rules to enable fair comparison of anomaly detectors.</w:t>
      </w:r>
    </w:p>
    <w:p>
      <w:r>
        <w:t xml:space="preserve"> </w:t>
      </w:r>
    </w:p>
    <w:p>
      <w:pPr>
        <w:pStyle w:val="Heading2"/>
      </w:pPr>
      <w:r>
        <w:t>Experiments</w:t>
      </w:r>
    </w:p>
    <w:p>
      <w:r>
        <w:t>Datasets: use three domain corpora (news, clinical notes, OCR-scanned documents) with manual annotations of errors. Reserve a held-out real-error test set: 1,500 anomalous documents + 13,500 normal documents (≈10% anomalies). Create an adversarial challenge set: 1,000 anomalies + 9,000 normals. Produce synthetic training sets sampling corruption families (OCR confusions, ASR phonetic swaps, token dropout, factual swaps, formatting glitches). Ensure stratified splits by source and time to avoid leakage. Baselines: (1) heuristic rule-based detector (regular-expression and length/char distribution rules); (2) spaCy-based NER/CRF with anomaly heuristics (off-the-shelf sequence tagger); (3) BERT-span detector (transformer fine-tuned to classify spans); (4) Transformer autoencoder (masked reconstruction + span scorer); (5) graph-based contextual detector (GNN over sentence/entity graph). Metrics: span-F1 at IoU thresholds {0.30, 0.50, 0.75} where IoU (intersection over union) measures overlap between predicted and gold spans; document AUROC (area under ROC curve), AUPR (area under precision-recall), Precision@k for k={1%,5%}, Expected Calibration Error (ECE) and Brier score (measures of calibration), and severity-weighted F1 (weights minor=1, major=3, critical=5). Statistical tests: bootstrap CIs (primary 10,000 resamples, fallback 5,000) on document-level statistics and paired permutation tests (primary 20,000 permutations, fallback 10,000) with Benjamini–Hochberg correction for families. Experimental setup: tokenization = WordPiece (bert-base-uncased) with deterministic Unicode NFC and whitespace normalization; seeds = {42,43,44}; calibration = temperature scaling on 10% dev (fallback isotonic/Dirichlet); report per-severity results. Ablations and sensitivity studies: (A) remove each corruption family from synthetic training (OCR, ASR, token noise, factual swaps) to measure transfer; (B) no-calibration vs calibrated scores; (C) tokenization variants (WordPiece vs byte-level) to measure tokenization impact; (D) density-only vs reconstruction-only vs combined scoring; (E) sensitivity of realism metrics: KL bin counts {50,100,200}, Laplace α ∈ {1e-6,1e-4,1e-2}, and bootstrap resamples {5k,10k}. Novelty metric experiment: vectorize operator parameters (continuous normalized to [0,1]; discrete as one-hot), compute weighted L2 distance for continuous and Hamming distance for discrete, combine via normalized weighted sum (weights set by parameter ranges), and produce Wilson CIs by sampling operator-space draws; validate with two toy cases showing expected ordering of novelty. Compute estimates: ~20 GPU-hours per full BERT fine-tune on 20k examples; full suite ≈2,000 GPU-hours (contingency: reduce resamples to 5k and pilot sizes by 50%). Reproducibility: publish seeds, tokenization spec, exact library versions, and container image; include CI smoke test that reproduces a small expected span-F1 within tolerance.</w:t>
      </w:r>
    </w:p>
    <w:p>
      <w:r>
        <w:t xml:space="preserve"> </w:t>
      </w:r>
    </w:p>
    <w:p>
      <w:pPr>
        <w:pStyle w:val="Heading2"/>
      </w:pPr>
      <w:r>
        <w:t>Risk Factors And Limitations</w:t>
      </w:r>
    </w:p>
    <w:p>
      <w:r>
        <w:t>Technical failure modes: models may learn synthetic artifacts instead of real error signals (realism gap), or produce many false positives when anomalies are low-prevalence. Data and evaluation biases: stratification may not capture unseen sources; severity labels may be subjective and vary by annotator. Annotation risks: low inter-annotator agreement on spans and nested/overlapping spans can reduce gold quality; a Krippendorff’s alpha target below 0.80 may weaken publication claims. Scalability and compute: bootstrap and permutation resampling are costly; full ablation suites require large GPU budgets. Calibration limits: temperature scaling may fail when calibration sets have &lt;30 examples per class; fallback methods may still be noisy. Novelty metric sensitivity: combining discrete and continuous operator parameters requires careful normalization; improper weighting can misestimate coverage. Generalization limits: methods tuned on provided domains may not transfer to highly different corpora (languages, scripts, extreme OCR noise). Privacy and governance: redaction may remove signals needed for detection, and storing provenance may raise data-sharing constraints.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