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xai_mri_occlusion_ensemble</w:t>
      </w:r>
    </w:p>
    <w:p>
      <w:r>
        <w:t xml:space="preserve"> </w:t>
      </w:r>
    </w:p>
    <w:p>
      <w:pPr>
        <w:pStyle w:val="Heading2"/>
      </w:pPr>
      <w:r>
        <w:t>Title</w:t>
      </w:r>
    </w:p>
    <w:p>
      <w:r>
        <w:t>Hierarchical occlusion and explainer ensemble for explainable MRI diagnostic support in distal myopathies</w:t>
      </w:r>
    </w:p>
    <w:p>
      <w:r>
        <w:t xml:space="preserve"> </w:t>
      </w:r>
    </w:p>
    <w:p>
      <w:pPr>
        <w:pStyle w:val="Heading2"/>
      </w:pPr>
      <w:r>
        <w:t>Short Hypothesis</w:t>
      </w:r>
    </w:p>
    <w:p>
      <w:r>
        <w:t>Using a hierarchical occlusion technique combined with an ensemble of XAI methods and anatomical constraints will increase radiologist diagnostic accuracy and correct management decisions for MRI-based distal myopathy detection compared to AI predictions without these explanations.</w:t>
      </w:r>
    </w:p>
    <w:p>
      <w:r>
        <w:t xml:space="preserve"> </w:t>
      </w:r>
    </w:p>
    <w:p>
      <w:pPr>
        <w:pStyle w:val="Heading2"/>
      </w:pPr>
      <w:r>
        <w:t>Related Work</w:t>
      </w:r>
    </w:p>
    <w:p>
      <w:r>
        <w:t>Prior work applies local attribution (saliency) methods such as Grad-CAM and Integrated Gradients, perturbation-based occlusion, model-agnostic explainers like SHAP, concept-based methods like TCAV (Testing with Concept Activation Vectors), and generative counterfactuals for image explanation. Limitations include: (1) raw heatmaps that are noisy and hard for clinicians to interpret; (2) single-method explanations that are unstable under small input changes and image artifacts; (3) lack of anatomical constraints so attributions appear in non-causal regions; (4) perturbation or generative counterfactuals that produce unrealistic images or violate MRI physics; (5) most studies evaluate explainers with proxy technical metrics only, not clinician decision impact; and (6) limited multi-reader, multi-case (MRMC) clinical evaluation and regulatory framing. These weaknesses leave open whether explanations are faithful (reflect the model), robust (stable under realistic variations), and clinically useful.</w:t>
      </w:r>
    </w:p>
    <w:p>
      <w:r>
        <w:t xml:space="preserve"> </w:t>
      </w:r>
    </w:p>
    <w:p>
      <w:pPr>
        <w:pStyle w:val="Heading2"/>
      </w:pPr>
      <w:r>
        <w:t>Abstract</w:t>
      </w:r>
    </w:p>
    <w:p>
      <w:r>
        <w:t>We propose a clinically oriented framework that combines a novel hierarchical occlusion explainer with an ensemble of complementary XAI methods to produce refined, anatomically constrained explanations for MRI-based diagnosis of distal myopathies. Hierarchical occlusion means masking nested image regions from coarse to fine to measure causal impact on model outputs. The ensemble aggregates attributions across gradient, perturbation, concept, and generative explainers, then regularizes results to anatomical boundaries. We evaluate explanation fidelity (does explanation reflect model behavior), localization against expert segmentations, robustness to realistic MRI perturbations, and clinical value via a randomized MRMC reader study where radiologists read unaided, with AI output only, and with AI plus explanations. Main contributions are: (1) a hierarchical occlusion algorithm adapted to multi-contrast 3D MRI, (2) an explainer ensemble that yields stable, anatomically plausible visualizations, and (3) an MRMC protocol that links explanation quality to clinician decision metrics. Expected outcome: measurable improvement in clinician diagnostic accuracy and calibration when using the proposed explanations.</w:t>
      </w:r>
    </w:p>
    <w:p>
      <w:r>
        <w:t xml:space="preserve"> </w:t>
      </w:r>
    </w:p>
    <w:p>
      <w:pPr>
        <w:pStyle w:val="Heading2"/>
      </w:pPr>
      <w:r>
        <w:t>Experiments</w:t>
      </w:r>
    </w:p>
    <w:p>
      <w:r>
        <w:t>Datasets: Development set: multi-center multi-contrast 3D MRI of distal myopathy suspects, N=1000 cases (500 pathology-positive, 500 negative) from at least 4 sites; hold-out internal validation N=300 (75 positive, 225 negative); external validation: two independent cohorts totaling N=500 (150 positive). Segmentation ground truth: manual pixel masks for affected muscle regions on a subset of 200 cases (balanced). Baselines: (A) unaided reader, (B) AI classifier/regressor only (no explanation), (C) AI + standard Grad-CAM heatmaps, (D) AI + Integrated Gradients, (E) AI + single-method perturbation occlusion. Proposed method: AI + hierarchical occlusion + explainer ensemble with anatomical smoothing. Model training: 3D multi-contrast CNN multi-task model predicting diagnosis and lesion segmentation; 5-fold stratified cross-validation by center; final model ensemble by majority checkpoint averaging. Reader study: randomized MRMC design with 12 board-certified radiologists, 300 mixed cases (25% positive) in three arms (unaided, AI-only, AI+XAI), crossover with 4-week washout. Clinical endpoints: primary = change in sensitivity for pathology detection; secondary = change in management decisions, reading time, and trust Likert scores. Technical metrics: AUC (area under ROC), sensitivity, specificity, Dice and IoU for segmentation (Dice = overlap measure; IoU = intersection-over-union), localization IoU between attribution and segmentation, perturbation-fidelity Spearman correlation (correlation between attribution rank and model output change under perturbation), deletion/insertion AUC (fidelity), calibration: Brier score and ECE (expected calibration error). Counterfactual metrics: SSIM (structural similarity), LPIPS (perceptual similarity), latent L2, and histogram Wasserstein distance. Robustness tests: synthetic motion (1–5 mm translation, 1–5° rotation), contrast-timing shifts (±30–60 s), SNR reductions (3–6 dB), vendor field-strength splits (1.5T vs 3T); report ΔAUC, Δsensitivity, Δlocalization IoU. Statistical analysis: Obuchowski–Rockette MRMC mixed-effects model with random effects for reader and case, fixed effect for modality (unaided/AI/AI+XAI), alpha=0.05, gatekeeping testing (first AI vs unaided, then AI+XAI vs AI), cluster bootstrap for CIs. Ablations: (1) remove hierarchical occlusion (ensemble only), (2) remove ensemble aggregation (single best explainer), (3) remove anatomical constraints, (4) vary ensemble weighting schemes (uniform vs fidelity-weighted). Report per-ablation changes in all technical and clinical endpoints. Pre-specified sample sizes: reader-study N=300, 12 readers gives ~80% power to detect +5% absolute sensitivity gain; training/validation splitting as above. External validation: report all metrics on independent cohorts.</w:t>
      </w:r>
    </w:p>
    <w:p>
      <w:r>
        <w:t xml:space="preserve"> </w:t>
      </w:r>
    </w:p>
    <w:p>
      <w:pPr>
        <w:pStyle w:val="Heading2"/>
      </w:pPr>
      <w:r>
        <w:t>Risk Factors And Limitations</w:t>
      </w:r>
    </w:p>
    <w:p>
      <w:r>
        <w:t>Technical failure modes: explanations may have low fidelity (do not reflect model reasoning) or be unstable under small image changes; generative counterfactuals may produce anatomically unrealistic results. Data and evaluation bias: training data may underrepresent scanner vendors, field strengths, demographic subgroups, or rare disease presentations causing poor generalization. Annotation variability: inter-reader disagreement on lesion segmentation will increase noise in localization metrics. Scalability and compute: 3D explainer ensemble and counterfactual generation require high GPU compute and storage, limiting large-scale deployment. Limits to generalization: methods tuned to distal myopathy MRI contrasts may not transfer to other MRI tasks without retraining. Human factors risk: clinicians may misinterpret or over-trust explanations, altering management in unsafe ways. Privacy and regulatory constraints: multi-center data sharing may be restricted, affecting external validation. Adversarial and robustness risk: real-world artifacts or intentional perturbations may break explanations. Measurement risk: MRMC reader studies can be underpowered if variance estimates are mis-specified.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