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sasnet_scale_aware</w:t>
      </w:r>
    </w:p>
    <w:p>
      <w:r>
        <w:t xml:space="preserve"> </w:t>
      </w:r>
    </w:p>
    <w:p>
      <w:pPr>
        <w:pStyle w:val="Heading2"/>
      </w:pPr>
      <w:r>
        <w:t>Title</w:t>
      </w:r>
    </w:p>
    <w:p>
      <w:r>
        <w:t>Scale-aware adaptive supervised network (SASNet) for semi-supervised medical image segmentation under limited annotations</w:t>
      </w:r>
    </w:p>
    <w:p>
      <w:r>
        <w:t xml:space="preserve"> </w:t>
      </w:r>
    </w:p>
    <w:p>
      <w:pPr>
        <w:pStyle w:val="Heading2"/>
      </w:pPr>
      <w:r>
        <w:t>Short Hypothesis</w:t>
      </w:r>
    </w:p>
    <w:p>
      <w:r>
        <w:t>Integrating (1) pixel-wise scale-aware adaptive reweighting with temporal confidence accumulation, (2) view-variance enhancement via 3D Fourier-domain augmentation, and (3) segmentation–regression consistency using signed distance maps will increase segmentation boundary accuracy and lesion detection sensitivity: specifically, SASNet will achieve at least a 5 percentage point absolute improvement in mean Dice and at least an 8% relative increase in per-lesion sensitivity at 0.5 false positives per scan compared to a strong semi-supervised baseline under the same limited annotation budget.</w:t>
      </w:r>
    </w:p>
    <w:p>
      <w:r>
        <w:t xml:space="preserve"> </w:t>
      </w:r>
    </w:p>
    <w:p>
      <w:pPr>
        <w:pStyle w:val="Heading2"/>
      </w:pPr>
      <w:r>
        <w:t>Related Work</w:t>
      </w:r>
    </w:p>
    <w:p>
      <w:r>
        <w:t>Existing approaches include fully supervised segmentation (e.g., U-Net variants) that require many pixel labels, semi-supervised methods (e.g., mean-teacher, consistency regularization, and pseudo-labeling) that leverage unlabeled images but often produce noisy boundaries, and weakly supervised methods that convert boxes to masks (box-to-seg) but struggle with fine edges. Multi-scale and scale-equivariant networks improve small-object detection but typically use fixed fusion weights across space and do not adapt supervision signals per pixel. Fourier-based augmentations have been used for style or frequency shifts but not commonly as a systematic view-variance simulator for annotation variability. Signed distance map regression has improved boundary precision in isolation, but prior works rarely combine regression consistency with segmentation heads in a semi-supervised, scale-aware framework. Limitations: reliance on dense labels, degraded boundary precision under limited annotations, limited handling of annotation variability, lack of temporal confidence aggregation for pseudo-labels, and absence of joint spatial-temporal-geometric consistency.</w:t>
      </w:r>
    </w:p>
    <w:p>
      <w:r>
        <w:t xml:space="preserve"> </w:t>
      </w:r>
    </w:p>
    <w:p>
      <w:pPr>
        <w:pStyle w:val="Heading2"/>
      </w:pPr>
      <w:r>
        <w:t>Abstract</w:t>
      </w:r>
    </w:p>
    <w:p>
      <w:r>
        <w:t>We address semi-supervised medical image segmentation when expert pixel labels are scarce. We propose SASNet, a dual-branch architecture that fuses low- and high-level features with a novel scale-aware adaptive reweighting mechanism that adjusts pixel supervision using temporal confidence accumulation (confidence accumulated across training iterations). To simulate annotation variability and improve robustness, we introduce a view-variance enhancement based on 3D Fourier-domain transformations (changing frequency components to mimic different acquisition views). We enforce segmentation–regression consistency by jointly predicting signed distance maps (a regression of distance to object boundary) and aligning them with segmentation masks to sharpen boundaries. SASNet integrates spatial (multi-scale), temporal (confidence accumulation), and geometric (distance map) consistency in a unified loss to improve detection and boundary accuracy under limited annotations. We expect measurable gains in Dice, mean surface distance, and per-lesion sensitivity compared to baseline semi-supervised and weakly supervised methods, enabling more reliable lesion delineation with fewer expert labels.</w:t>
      </w:r>
    </w:p>
    <w:p>
      <w:r>
        <w:t xml:space="preserve"> </w:t>
      </w:r>
    </w:p>
    <w:p>
      <w:pPr>
        <w:pStyle w:val="Heading2"/>
      </w:pPr>
      <w:r>
        <w:t>Experiments</w:t>
      </w:r>
    </w:p>
    <w:p>
      <w:r>
        <w:t>Datasets: public and clinical sets covering varied modalities and lesion sizes: (A) LIDC-IDRI (lung CT) for nodule detection/segmentation, (B) LiTS (liver CT) for lesion segmentation, and (C) a multisite internal CT dataset with at least 3 sites and 2,000 studies (use only de-identified data). Create controlled annotation budgets: total cases N_small=1000, N_medium=5000; annotation splits: 100% image-level labels, 20–30% bounding-box labels, 10–15% pixel masks. Hold out external-site test set (≥200 cases/site) for domain-shift evaluation. Baselines: (1) fully supervised U-Net (trained only on masks), (2) nnU-Net semi-supervised baseline (or mean-teacher with same backbone), (3) box-to-seg weakly supervised pipeline, (4) scale-equivariant multi-scale baseline (multi-scale fusion without adaptive reweighting). Proposed model: SASNet with dual-branch fusion, scale-aware adaptive reweighting (pixel-wise), 3D Fourier view-variance augmentation, and segmentation–regression consistency with signed distance map regression. Metrics: segmentation Dice (mean), mean surface distance (MSD), per-lesion sensitivity at fixed FP/scan (0.1, 0.5), AUC for image-level classification, expected calibration error (ECE), and calibration plots. Experimental setup: pretrain backbone with self-supervised learning on all unlabeled data; run staged training (image-level → box supervision → mask supervision → semi-supervised pseudo-labeling) with teacher-student EMA; use three random seeds and report mean±CI. Statistical tests: patient-level bootstrap that preserves within-patient lesion clustering (resample patients with replacement) to compute 95% CIs and paired bootstrap tests for comparisons. Ablations (each run under same budget and seeds): A1 remove scale-aware adaptive reweighting (fixed fusion), A2 remove 3D Fourier view-variance augmentation, A3 remove segmentation–regression consistency (no signed distance map), A4 replace temporal confidence accumulation with single-step confidence. Additional comparisons: pseudo-label threshold sweep (confidence cutoffs 0.6–0.95) and active learning simulation (entropy+k-center acquisition) measuring annotation-hours saved to each metric target.</w:t>
      </w:r>
    </w:p>
    <w:p>
      <w:r>
        <w:t xml:space="preserve"> </w:t>
      </w:r>
    </w:p>
    <w:p>
      <w:pPr>
        <w:pStyle w:val="Heading2"/>
      </w:pPr>
      <w:r>
        <w:t>Risk Factors And Limitations</w:t>
      </w:r>
    </w:p>
    <w:p>
      <w:r>
        <w:t>Technical failure modes: pseudo-label drift (incorrect pseudo-labels reinforcing errors) and unstable temporal confidence accumulation; increased computational cost from dual-branch and 3D Fourier transforms impacting training time. Data and evaluation biases: annotation bias (nonrepresentative masks), within-patient lesion clustering affecting inference if not modeled, and limited external site diversity harming generalization. Scalability constraints: heavy memory and compute requirements for 3D processing limit deployment on low-resource hardware. Limits to generalization: performance may drop on unseen scanners, phases, or rare lesion types; signed distance regression may fail on complex topology (e.g., many small touching lesions). Statistical risks: inflated type I error if clustering is ignored; multiplicity across sizes/sites/ablation arms requires formal correction. Regulatory and privacy constraints: multisite data sharing may be limited by IRB/DSA timelines, delaying external validation. Operational risks: annotator fatigue reducing mask quality and inter-rater variability exceeding planned thresholds (Cohen's kappa targets may not be met).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