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cmrxmotion_motion_aware_recon_seg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Motion-aware joint reconstruction and myocardial segmentation for cardiac cine MRI under respiratory motion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A single neural model that jointly reconstructs cine images and estimates dense motion fields to inform a segmentation head will reduce left-ventricular ejection fraction (EF) absolute error by &gt;=3 percentage points versus a baseline two-step pipeline (retrospective registration then segmentation) on a held-out extreme-respiratory-motion test set.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Existing approaches fall into a few groups. One common pipeline first performs retrospective registration (aligning frames after acquisition to remove motion) and then applies a segmentation model; this two-step approach often fails when motion is extreme because registration errors propagate into segmentation. Physics-guided or motion-compensated reconstruction methods jointly estimate images and motion but are typically optimization-heavy, slow, and require careful parameter tuning. Deep-learning reconstructions accelerate image recovery but are usually trained on breath-held data and do not generalize well to free-breathing extremes. Multi-task learning that shares features for reconstruction and segmentation has been proposed, but prior models rarely output explicit dense motion fields for evaluation or clinical use. Self-supervised motion-estimation methods reduce label needs but can produce biased motion when k-space (raw MR data) variations differ across scanners. Domain-adaptation techniques address scanner differences but often lack clinically meaningful evaluation under respiratory artifacts. Overall limitations are: weak robustness to severe respiratory motion, lack of validated motion-ground-truth for training/evaluation, limited multi-site variability testing, and scarce reporting of clinically relevant endpoints (EF bias, Bland–Altman limits).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We address automated cardiac cine MRI analysis when respiratory motion strongly corrupts images. We propose a single, end-to-end model that jointly reconstructs cine frames from input data, estimates dense per-frame motion fields (pixel displacements), and outputs myocardial segmentations. The model uses a differentiable MRI forward model (a simple mathematical simulator of raw MR measurements) plus task heads for motion and segmentation; motion estimates condition reconstruction and segmentation via explicit geometric consistency losses. Main contributions are (1) a motion-aware joint reconstruction+segmentation architecture that produces calibrated uncertainty maps, (2) use of multi-source supervision including tagged-MRI/phantom motion references and respiratory traces as motion priors, and (3) a reproducible evaluation protocol on a stratified, motion-controlled cardiac cine dataset with clinical endpoints (EF and volumes) and motion-field benchmarks. We expect the joint approach to improve clinical metrics (lower EF/volume bias, higher segmentation overlap) and to produce interpretable motion estimates usable for clinical adjudication and downstream correction tools.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use the curated CMRxMotion cohort (1,200 studies): 700 train, 200 validation, 150 public test, 150 hidden test; stratify by field strength (1.5T/3T), acquisition mode (breath-held segmented vs real-time free-breathing), and motion-severity bins (none/mild/moderate/severe). Include a motion-ground-truth subset (tagged MRI or motion-phantom) of &gt;=100 studies for motion-field evaluation. Baselines: Baseline A: retrospective registration (rigid + nonrigid B-spline) followed by a U-Net segmentation; Baseline B: real-time motion-aware reconstruction model without explicit motion-field head; Baseline C: multi-task reconstruction+segmentation without motion priors or geometric consistency. Proposed model: joint reconstruction + motion-field + segmentation with navigator/respiratory-trace conditioning and self-supervised cycle-consistency losses. Metrics: segmentation Dice, HD95, Hausdorff max, surface distance percentiles; clinical metrics: LV volume MAE (mL), EF MAE (%), EF bias and Bland–Altman limits-of-agreement (LoA); motion metrics: End-Point Error (EPE, mm) median and 95th percentile, angular error, Jacobian stats; image quality: SSIM and residual motion energy; uncertainty: Expected Calibration Error (ECE) and per-case predictive sigma. Statistical tests: per-case paired tests (paired t if normality; otherwise Wilcoxon), bootstrap 95% CIs (2,000 resamples), Benjamini–Hochberg FDR for multiple comparisons; governance triggers: EF bias &gt;±3% or LoA width &gt;10% EF. Experimental setup: deterministic seeds, containerized runs, report training hyperparameters. Hardware: report median and 95th-percentile inference latency on NVIDIA T4 (8GB) and RTX6000/A100 for research tier; measure cold start + warm-up + per-frame times with batch=1. Ablations: (1) remove motion priors (navigator traces), (2) remove geometric-consistency loss, (3) train without motion-ground-truth subset, (4) compare domain-adaptation modules (histogram matching vs feature-adversarial) across site-held-out folds. Report per-subgroup results by motion-severity, field-strength, vendor, and pathology with minimum subgroup n&gt;=30 for standalone reporting.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Technical failure modes: learned motion estimates may be incorrect for extreme outliers (e.g., coughing) producing wrong segmentations; geometric-consistency losses may collapse if motion priors are noisy. Data and evaluation biases: synthetic augmentations or limited-tagged-data may not reflect real extremes; small-n rare-pathology groups limit statistical confidence. Scalability and compute: joint models with motion-field heads increase memory and may not meet tight clinical-tier latency on small GPUs (8GB). Generalization limits: models trained on subset of vendors or field strengths may underperform on unseen hardware or protocols (domain shift). Ground-truth limits: motion-ground-truth from tagged MRI or phantoms does not perfectly match in vivo motion, producing evaluation noise. Regulatory and clinical-acceptance limits: calibrated uncertainty and conservative thresholds required before clinical deployment. Operational risks: leaderboard leakage, synthetic-data gaming, and subgroup fairness gaps if monitoring thresholds are not enforced.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