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disentangled_anatomy_brain_mri_ad</w:t>
      </w:r>
    </w:p>
    <w:p>
      <w:r>
        <w:t xml:space="preserve"> </w:t>
      </w:r>
    </w:p>
    <w:p>
      <w:pPr>
        <w:pStyle w:val="Heading2"/>
      </w:pPr>
      <w:r>
        <w:t>Title</w:t>
      </w:r>
    </w:p>
    <w:p>
      <w:r>
        <w:t>Unsupervised anomaly detection in brain MRI via disentangled anatomy and imaging representation learning</w:t>
      </w:r>
    </w:p>
    <w:p>
      <w:r>
        <w:t xml:space="preserve"> </w:t>
      </w:r>
    </w:p>
    <w:p>
      <w:pPr>
        <w:pStyle w:val="Heading2"/>
      </w:pPr>
      <w:r>
        <w:t>Short Hypothesis</w:t>
      </w:r>
    </w:p>
    <w:p>
      <w:r>
        <w:t>Separating anatomy-specific latent representations from imaging-specific latent representations and restoring pseudo-healthy images from edge cues will increase lesion detection sensitivity and reduce false positives on held-out multi-site brain MRI compared with reconstruction-only baselines.</w:t>
      </w:r>
    </w:p>
    <w:p>
      <w:r>
        <w:t xml:space="preserve"> </w:t>
      </w:r>
    </w:p>
    <w:p>
      <w:pPr>
        <w:pStyle w:val="Heading2"/>
      </w:pPr>
      <w:r>
        <w:t>Related Work</w:t>
      </w:r>
    </w:p>
    <w:p>
      <w:r>
        <w:t>Existing unsupervised MRI anomaly detection methods use reconstruction models (autoencoders, VAEs), generative adversarial networks (GANs), or normative atlas thresholding to detect deviations from normal appearance. Some approaches learn latent spaces and flag high-reconstruction-error voxels as anomalies. Recent methods add adversarial or perceptual losses to improve image realism. Limitations: reconstruction-focused models often reconstruct lesions partially and produce residuals that cause false positives; joint latent spaces mix anatomy and scanner effects, reducing transfer across sites; harmonization methods can remove pathology or leak pathology signals; evaluation is often single-site with inconsistent lesion-matching rules, producing unclear generalization. Disentanglement methods for anatomy vs pathology are less explored in unsupervised clinical pipelines and lack standardized disentanglement metrics and multi-site validation for brain lesions.</w:t>
      </w:r>
    </w:p>
    <w:p>
      <w:r>
        <w:t xml:space="preserve"> </w:t>
      </w:r>
    </w:p>
    <w:p>
      <w:pPr>
        <w:pStyle w:val="Heading2"/>
      </w:pPr>
      <w:r>
        <w:t>Abstract</w:t>
      </w:r>
    </w:p>
    <w:p>
      <w:r>
        <w:t>Problem: detect focal and diffuse brain abnormalities in MRI without pixelwise training labels. Proposed approach: learn two disentangled latent spaces, one that encodes anatomy (spatial, structural maps) and one that encodes imaging-specific information including pathology. Constrain anatomy with anatomical priors and a differentiable one-hot encoding-like operator to enforce discrete anatomical regions. Reconstruct high-quality pseudo-healthy images in an edge-to-image restoration module that recovers anatomy from high-frequency edge cues and re-applies imaging information to suppress abnormal residuals. Main contribution: a reproducible unsupervised pipeline that separates anatomy and imaging factors, produces uncertainty-weighted anomaly maps, and restores structural detail while reducing abnormal remnants. Expected outcome: improved lesion-wise sensitivity and lower false-positive rates across multi-site test sets, with interpretable anatomy maps for clinician review and standardized metrics for disentanglement and clinical performance.</w:t>
      </w:r>
    </w:p>
    <w:p>
      <w:r>
        <w:t xml:space="preserve"> </w:t>
      </w:r>
    </w:p>
    <w:p>
      <w:pPr>
        <w:pStyle w:val="Heading2"/>
      </w:pPr>
      <w:r>
        <w:t>Experiments</w:t>
      </w:r>
    </w:p>
    <w:p>
      <w:r>
        <w:t>Datasets: train on large normative cohorts and mixed pathology collections: UK Biobank subset, OASIS-3, IXI for healthy controls; BraTS for tumors; ISLES and ATLAS for stroke; MSSEG/ISBI for multiple sclerosis; RSNA/CQ500 for hemorrhage; plus at least one internal multi-center hospital cohort. Preprocessing: N4 bias correction, skull-stripping with QC, affine registration to MNI152, white-matter referenced intensity normalization, optional ComBat harmonization (test with/without). Data splits: deterministic stratified folds by site and field strength using fixed hash seed; held-out multi-site test set. Baselines: PCA voxel-wise, standard AE, beta-VAE, AnoGAN, f-AnoGAN, normative atlas thresholding, anatomy-only reconstruction (no pathology latent). Proposed model: 3D dual-branch VAE with z_a (spatial anatomy map) and z_p (sparse pathology latent), differentiable one-hot anatomical constraint, edge-to-image restoration decoder, optional patch discriminator and perceptual loss. Hyperparameters: latent dims z_a 64-256 spatial channels, z_p 8-64, learning rate 1e-4 to 5e-5, batch size 4-16 (3D patches); fixed random seeds and Dockerized runs. Metrics: lesion-wise sensitivity stratified by size (&lt;5 mm, 5-15 mm, &gt;15 mm), FROC (sensitivity vs false positives per scan at FP rates 0.25,0.5,1,2,4), patient-level AUC and precision-recall, voxel Dice where masks exist, calibration metrics (ECE, Brier), uncertainty maps, and disentanglement scores (total correlation TC, MIG, SAP, DCI) with bootstrap CIs. Evaluation: clustered site-stratified bootstrap (1000 resamples) for CIs; lesion matching rule: IoU &gt;= 0.1 or centroid within 10 mm; FP counting by connected components. Ablations: (1) remove z_p (anatomy-only), (2) remove adversarial/perceptual losses, (3) disable anatomical one-hot constraint, (4) harmonization on vs off, (5) train with and without synthetic lesion augmentation. Reporting: per-site results, random-effects pooled estimates, I2 heterogeneity, and full reproducibility artifacts (git commit, Docker image, seed list, evaluation scripts).</w:t>
      </w:r>
    </w:p>
    <w:p>
      <w:r>
        <w:t xml:space="preserve"> </w:t>
      </w:r>
    </w:p>
    <w:p>
      <w:pPr>
        <w:pStyle w:val="Heading2"/>
      </w:pPr>
      <w:r>
        <w:t>Risk Factors And Limitations</w:t>
      </w:r>
    </w:p>
    <w:p>
      <w:r>
        <w:t>Technical failure modes: posterior collapse of latent channels causing z_p to be unused; adversarial instability producing artefactual anatomy; over-smoothing of small lesions in pseudo-healthy reconstructions. Data biases: public cohorts skew age and health status, leading to poor sensitivity for rare lesion types or pediatric cases. Harmonization risk: ComBat or deep harmonizers may remove subtle pathology or leak pathology cues into harmonized features. Evaluation limits: lesion-matching rules and annotation scarcity bias metrics, especially for very small lesions (&lt;5 mm). Scalability and compute: 3D models with adversarial and perceptual losses require high GPU memory and long training times, limiting hyperparameter sweeps. Generalization limits: scanner vendors, field strengths, and protocols not seen in training may degrade disentanglement and detection. Clinical integration limits: uncertainty maps may be misinterpreted by users and false positives from vascular flow or susceptibility can raise workload. Regulatory and data governance constraints: DUAs and IRB approvals may limit external release of some evaluation 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