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lctfound_diffusion_multimodal</w:t>
      </w:r>
    </w:p>
    <w:p>
      <w:r>
        <w:t xml:space="preserve"> </w:t>
      </w:r>
    </w:p>
    <w:p>
      <w:pPr>
        <w:pStyle w:val="Heading2"/>
      </w:pPr>
      <w:r>
        <w:t>Title</w:t>
      </w:r>
    </w:p>
    <w:p>
      <w:r>
        <w:t>Diffusion-pretrained multimodal 3d convolutional-transformer for multi-task lung CT detection and quantification</w:t>
      </w:r>
    </w:p>
    <w:p>
      <w:r>
        <w:t xml:space="preserve"> </w:t>
      </w:r>
    </w:p>
    <w:p>
      <w:pPr>
        <w:pStyle w:val="Heading2"/>
      </w:pPr>
      <w:r>
        <w:t>Short Hypothesis</w:t>
      </w:r>
    </w:p>
    <w:p>
      <w:r>
        <w:t>Pretraining a hybrid 3D convolutional-transformer using diffusion-based generative objectives together with joint encoding of clinical metadata on multi-center thin-slice chest CTs will increase actionable nodule detection sensitivity by at least 5 percentage points and reduce ILD percent-involvement mean absolute error by at least 3 percentage points on external test sets compared to models pretrained without diffusion objectives or without clinical metadata.</w:t>
      </w:r>
    </w:p>
    <w:p>
      <w:r>
        <w:t xml:space="preserve"> </w:t>
      </w:r>
    </w:p>
    <w:p>
      <w:pPr>
        <w:pStyle w:val="Heading2"/>
      </w:pPr>
      <w:r>
        <w:t>Related Work</w:t>
      </w:r>
    </w:p>
    <w:p>
      <w:r>
        <w:t>Existing approaches to lung CT tasks fall into several categories: supervised 3D convolutional networks for nodule detection and segmentation, segmentation-first pipelines for ILD quantification, transformer-based models for long-range context, self-supervised methods such as masked volume modeling (masking parts of volumes and predicting them) and contrastive learning (pulling augmented views together and pushing others apart), and generative diffusion models primarily developed for natural images. Multimodal fusion methods that incorporate clinical metadata typically use simple late fusion (separate image and tabular encoders merged at the end). Privacy-preserving training has been explored via federated learning and differential privacy (DP), but DP often reduces accuracy for low-prevalence targets. Limitations across these prior methods include reliance on large labeled sets, weak generalization across vendors and reconstruction protocols, limited generative pretraining tailored to CT physics, coarse handling of metadata, poor calibration for rare/urgent findings, and high compute cost for ensembles. These gaps motivate integrated diffusion-based pretraining and tight image–metadata fusion to improve generalization and calibration.</w:t>
      </w:r>
    </w:p>
    <w:p>
      <w:r>
        <w:t xml:space="preserve"> </w:t>
      </w:r>
    </w:p>
    <w:p>
      <w:pPr>
        <w:pStyle w:val="Heading2"/>
      </w:pPr>
      <w:r>
        <w:t>Abstract</w:t>
      </w:r>
    </w:p>
    <w:p>
      <w:r>
        <w:t>We address limited labeled data and domain variability in lung CT by training a single foundation model that supports detection, segmentation, and quantification tasks across centers. The model uses diffusion-based pretraining (a generative task where the model learns to reconstruct images after adding and removing noise) combined with joint encoding of clinical metadata (patient and exam fields encoded together with image features). The main contribution is a unified, multi-task 3D convolutional-transformer backbone pretrained on large multi-center thin-slice CT collections with soft labels from adjudicated disagreement to capture uncertain cases. After pretraining, task-specific heads are fine-tuned for actionable nodule detection, ILD percent-involvement, and urgent-finding triage. Expected outcomes are higher detection sensitivity for actionable nodules, lower error in ILD quantification, better calibration of output probabilities, and improved external generalization across vendors and protocols. The model is designed to produce interpretable overlays, per-finding uncertainties, and to be benchmarked on external multi-site tests and reader studies.</w:t>
      </w:r>
    </w:p>
    <w:p>
      <w:r>
        <w:t xml:space="preserve"> </w:t>
      </w:r>
    </w:p>
    <w:p>
      <w:pPr>
        <w:pStyle w:val="Heading2"/>
      </w:pPr>
      <w:r>
        <w:t>Experiments</w:t>
      </w:r>
    </w:p>
    <w:p>
      <w:r>
        <w:t>Datasets: Pretraining corpus = &gt;=10,000 non-duplicate thin-slice (&lt;=1.5 mm) chest CT studies from &gt;=5 vendors, with de-identified scanner/contrast metadata. Fine-tune label sets per task: nodules = 3,000 labelled studies (with pathology/longitudinal anchor for a subset), ILD = 2,000 labelled studies with per-lobe masks, urgent findings = 1,500 labelled studies. Validation = 300 studies per task. External test = 1,000 studies across &gt;=5 geographically separate sites (min 200/site) with target prevalences: nodules &gt;=20%, ILD &gt;=10%, urgent findings &gt;=5%. Baselines: (A) supervised training from scratch (3D CNN), (B) masked volume modeling (self-supervised) pretraining then fine-tune, (C) contrastive pretraining then fine-tune, (D) diffusion pretraining without metadata then fine-tune. Proposed model: diffusion pretraining + joint image+metadata encoder then multi-task fine-tune. Ablations: remove clinical metadata, remove diffusion objective, vary ensemble size {1,3,5}, apply DP noise levels epsilon in {8,4,2}. Evaluation metrics: nodule detection sensitivity (per-patient) at actionable threshold (&gt;=6 mm), FROC and false positives per scan (FP/scan), segmentation Dice (lungs, nodules, ILD patterns), ILD percent-involvement MAE (mean absolute error, percentage points), AUC for triage, calibration diagnostics: adaptive ECE (equal-frequency binning), reliability diagrams, calibration slope/intercept, Brier score, negative log-likelihood (NLL). Additional metrics: inference latency (sec/study on A10 and A30), GPU memory, and model size. Experimental setup: stratified train/val/test splits by vendor and contrast; cross-validation for fine-tune if labels &lt;3k. Reader study: multi-reader multi-case randomized crossover with 12 readers, 1,000 cases, two arms (AI-assisted vs unassisted), 4-week washout, mixed-effects logistic regression with reader and case as crossed random effects, alpha=0.05. Statistical power: use 1,000 test cases for reader study to detect a 5% absolute sensitivity improvement at 80% power given baseline 85% sensitivity (prevalence and ICC included in power script). Reporting: report 95% CIs, per-site breakdowns, subgroup analyses by vendor and slice thickness, and formal ablation comparisons with paired statistical tests.</w:t>
      </w:r>
    </w:p>
    <w:p>
      <w:r>
        <w:t xml:space="preserve"> </w:t>
      </w:r>
    </w:p>
    <w:p>
      <w:pPr>
        <w:pStyle w:val="Heading2"/>
      </w:pPr>
      <w:r>
        <w:t>Risk Factors And Limitations</w:t>
      </w:r>
    </w:p>
    <w:p>
      <w:r>
        <w:t>Limited ground-truth fidelity: pathology or long-term follow-up may be unavailable, producing label noise (errors in labels). Domain shift: performance may drop on unseen scanner models, contrast phases, or reconstruction kernels. Low-prevalence targets: urgent findings and rare ILD subtypes may have insufficient examples for tight confidence intervals. Compute cost: diffusion pretraining and ensembles increase GPU-days and memory requirements (may be infeasible for some sites). Privacy-utility tradeoff: applying strong differential privacy (small epsilon) can degrade detection of rare findings. Calibration fragility: calibration metrics can be unstable for rare classes and may require large calibration sets. Ensemble inference cost: deep ensembles plus MC-dropout increase latency and resource use in deployment. Regulatory and clinical integration: intended-use constraints and human factors may limit claims. Generalization limits: results may not extend to thick-slice (&gt;1.5 mm) studies, pediatric populations, or non-thoracic scanners.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