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remote_cgm_personalized_nutrition_rct</w:t>
      </w:r>
    </w:p>
    <w:p>
      <w:r>
        <w:t xml:space="preserve"> </w:t>
      </w:r>
    </w:p>
    <w:p>
      <w:pPr>
        <w:pStyle w:val="Heading2"/>
      </w:pPr>
      <w:r>
        <w:t>Title</w:t>
      </w:r>
    </w:p>
    <w:p>
      <w:r>
        <w:t>A randomized factorial trial of CGM-informed digital personalized nutrition to reduce body weight and improve glycemic time-in-range in adults with overweight or obesity</w:t>
      </w:r>
    </w:p>
    <w:p>
      <w:r>
        <w:t xml:space="preserve"> </w:t>
      </w:r>
    </w:p>
    <w:p>
      <w:pPr>
        <w:pStyle w:val="Heading2"/>
      </w:pPr>
      <w:r>
        <w:t>Short Hypothesis</w:t>
      </w:r>
    </w:p>
    <w:p>
      <w:r>
        <w:t>A fully remote CGM-informed personalized nutrition intervention causes greater percent body weight loss and a larger increase in CGM time-in-range at 6 months compared with generic nutrition advice.</w:t>
      </w:r>
    </w:p>
    <w:p>
      <w:r>
        <w:t xml:space="preserve"> </w:t>
      </w:r>
    </w:p>
    <w:p>
      <w:pPr>
        <w:pStyle w:val="Heading2"/>
      </w:pPr>
      <w:r>
        <w:t>Related Work</w:t>
      </w:r>
    </w:p>
    <w:p>
      <w:r>
        <w:t>Existing approaches include automated digital dietary programs, continuous glucose monitoring (CGM)-informed dietary adjustments, and remote coaching trials. Digital programs often rely on self-reported intake and generic rules and show modest weight change. CGM-informed studies demonstrate promise for detecting postprandial dysglycemia and guiding meal-level feedback but are limited by small samples, short follow-up, variable CGM thresholds, and heterogeneous safety procedures. Trials including remote coaching improve adherence but make it hard to separate coach effects from algorithm effects. Current gaps: few fully remote randomized designs testing CGM-driven personalization at scale; inconsistent definitions for actionable CGM thresholds (leading to variable alerts); limited handling of device non-wear and missingness; and sparse evidence on adding material supports (e.g., personalized food boxes). Regulatory and algorithm-auditability practices are also underdeveloped in prior work.</w:t>
      </w:r>
    </w:p>
    <w:p>
      <w:r>
        <w:t xml:space="preserve"> </w:t>
      </w:r>
    </w:p>
    <w:p>
      <w:pPr>
        <w:pStyle w:val="Heading2"/>
      </w:pPr>
      <w:r>
        <w:t>Abstract</w:t>
      </w:r>
    </w:p>
    <w:p>
      <w:r>
        <w:t>Problem: It is unclear whether a fully remote, CGM-informed personalized nutrition program can produce clinically meaningful weight loss and glycemic improvements in adults with overweight or obesity. Approach: We will run a randomized 2x2 factorial trial in which all participants wear CGM but only the personalized arm receives automated CGM-informed dietary recommendations; the second factor is provision of a personalized food box versus no box. CGM = continuous glucose monitor, a device that records glucose continuously; time-in-range (TIR) = percent of time glucose stays within a target range. Contribution: The study tests two co-primary outcomes—percent body weight change and change in CGM TIR at 6 months—using mixed-effects longitudinal models, predefined CGM thresholds for personalization, explicit safety SOPs for hypoglycemia, and robust missing-data plans. Expected outcome: Provide definitive evidence on whether CGM-informed personalization, and the incremental value of a food box, yield superior weight and glycemic outcomes when delivered entirely remotely, and quantify operational and safety characteristics needed for scale.</w:t>
      </w:r>
    </w:p>
    <w:p>
      <w:r>
        <w:t xml:space="preserve"> </w:t>
      </w:r>
    </w:p>
    <w:p>
      <w:pPr>
        <w:pStyle w:val="Heading2"/>
      </w:pPr>
      <w:r>
        <w:t>Experiments</w:t>
      </w:r>
    </w:p>
    <w:p>
      <w:r>
        <w:t>Design: 2x2 randomized factorial, 1:1:1:1 allocation. Arms: (A) personalized CGM-informed advice + food box, (B) personalized CGM-informed advice only, (C) generic advice + food box, (D) generic advice only. Population: adults 18–75 years, BMI &gt;=27 kg/m2, able to use smartphone, willing to wear CGM. All participants wear CGM continuously; in generic arms CGM is blinded for feedback but used for outcome measurement. Sample size: N=360 total (≈90 per arm) assuming 20% attrition to detect a 4% between-arm weight difference (SD 8%) and a 10 percentage-point TIR difference (SD 20%) with 80% power; adaptive sample-size re-estimation at interim. Data collection: CGM time-series, do-it-yourself home weight (photo-verified), baseline and 6-month fasting labs (HbA1c, fasting glucose/insulin, lipids), wearable activity/sleep, app meal logs with photo-assisted recalls, questionnaires (dietary self-efficacy, QoL). Baselines and follow-ups at 0, 2, 4, 6 months; extended follow-up to 12 months for maintenance. Baselines: demographics, medications (GLP-1, SGLT2, insulin), SDoH variables. Primary endpoints: percent change in body weight at 6 months; change in CGM time-in-range (70–140 mg/dL) at 6 months. Minimal clinically important differences (MCIDs): 4% body weight; 10 percentage points TIR. Statistical analysis: intention-to-treat using linear mixed-effects models with fixed effects for arm, time, arm-by-time interaction, baseline covariates, and random intercepts and slopes by participant; include coach random intercept if clustering present. Multiplicity: O'Brien-Fleming interim at 50% information and Hochberg adjustment for co-primary endpoints. Missing data: multiple imputation m=50 with longitudinal predictors and adherence metrics; MNAR sensitivity via pattern-mixture models. Baselines/baseline-adjusted comparisons and adjusted mean differences with 95% CIs reported. Baselines: generic digital advice app + static materials; personalized: algorithmic CGM-triggered meal-level feedback and weekly automated messages; food box: weekly tailored groceries. Comparisons/ablations: (1) personalized vs generic (main effect), (2) food box vs none (main effect), (3) interaction personalized*foodbox, (4) ablation removing CGM feedback from personalization algorithm to test incremental benefit of real-time CGM signals. Secondary analyses: per-protocol (adherence definitions: CGM wear &gt;=70% days per 14-day epoch; meal logging &gt;=3 meals/day on &gt;=60% days) and subgroup analyses by baseline BMI category, insulin use, and SDoH strata. Safety monitoring: report hypoglycemia events (&lt;54 mg/dL) and rapid weight loss (&gt;2.5 kg/week).</w:t>
      </w:r>
    </w:p>
    <w:p>
      <w:r>
        <w:t xml:space="preserve"> </w:t>
      </w:r>
    </w:p>
    <w:p>
      <w:pPr>
        <w:pStyle w:val="Heading2"/>
      </w:pPr>
      <w:r>
        <w:t>Risk Factors And Limitations</w:t>
      </w:r>
    </w:p>
    <w:p>
      <w:r>
        <w:t>Low adherence and CGM non-wear reducing effective dose and statistical power. High attrition leading to bias if missingness is not at random. False positive or excessive alerts from algorithm causing participant burden or disengagement. Undetected hypoglycemia in participants on insulin or secretagogues despite safety SOPs. Self-measured weights may be noisy or biased despite photo verification. Algorithm drift over time if retraining not synchronized with changing population behavior. Limited generalizability to populations without smartphone access or low digital literacy. Cluster effects if coaches vary in fidelity; small ICC mis-specification may underpower trial. Data security and privacy risks when integrating CGM, wearables, and app data. Regulatory classification as software-as-a-medical-device (SaMD) may require additional premarket processes and delay deployment. Cost and scalability constraints for providing food boxes in larger implementations.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