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chromogenic_spectro_poc_gbs</w:t>
      </w:r>
    </w:p>
    <w:p>
      <w:r>
        <w:t xml:space="preserve"> </w:t>
      </w:r>
    </w:p>
    <w:p>
      <w:pPr>
        <w:pStyle w:val="Heading2"/>
      </w:pPr>
      <w:r>
        <w:t>Title</w:t>
      </w:r>
    </w:p>
    <w:p>
      <w:r>
        <w:t>Spectrophotometric measurement of chromogenic culture pigment for rapid point-of-care identification of Group B Streptococcus</w:t>
      </w:r>
    </w:p>
    <w:p>
      <w:r>
        <w:t xml:space="preserve"> </w:t>
      </w:r>
    </w:p>
    <w:p>
      <w:pPr>
        <w:pStyle w:val="Heading2"/>
      </w:pPr>
      <w:r>
        <w:t>Short Hypothesis</w:t>
      </w:r>
    </w:p>
    <w:p>
      <w:r>
        <w:t>Quantitative absorbance measurement of chromogenic pigment from cultured vaginal–rectal swabs using a portable spectrophotometer will detect Group B Streptococcus colonization with sensitivity ≥95% and specificity ≥95% versus a composite reference (selective-enrichment culture OR validated NAAT).</w:t>
      </w:r>
    </w:p>
    <w:p>
      <w:r>
        <w:t xml:space="preserve"> </w:t>
      </w:r>
    </w:p>
    <w:p>
      <w:pPr>
        <w:pStyle w:val="Heading2"/>
      </w:pPr>
      <w:r>
        <w:t>Related Work</w:t>
      </w:r>
    </w:p>
    <w:p>
      <w:r>
        <w:t>Existing rapid GBS methods include culture on chromogenic or blood agar (visual colony color or hemolysis), lab-based NAATs (PCR), and POC molecular tests using isothermal amplification (RPA, LAMP) with lateral-flow strips. Strengths: NAATs show high analytical sensitivity and speed; chromogenic media provide low-cost visual colony identification. Limitations: visual chromogenic readouts are qualitative and subjective, require hours for colony growth, and perform poorly for low-density carriage; many NAATs require dedicated instruments, extraction, or target loci (e.g., cfb) that can be absent or variable in some strains; on-cartridge enrichment and contamination control at POC are underexplored; no established POC method converts chromogenic pigment intensity into a validated quantitative signal that correlates to bacterial load and colonization status. These gaps limit rapid, low-cost, quantitative intrapartum screening in low-resource settings.</w:t>
      </w:r>
    </w:p>
    <w:p>
      <w:r>
        <w:t xml:space="preserve"> </w:t>
      </w:r>
    </w:p>
    <w:p>
      <w:pPr>
        <w:pStyle w:val="Heading2"/>
      </w:pPr>
      <w:r>
        <w:t>Abstract</w:t>
      </w:r>
    </w:p>
    <w:p>
      <w:r>
        <w:t>Group B Streptococcus (GBS) screening before or during labor requires rapid, accurate point-of-care (POC) tests to guide intrapartum antibiotic prophylaxis. We propose a POC method that grows specimen material on chromogenic culture medium and measures pigment concentration by absorption spectroscopy (a spectrophotometer measures light absorbed by pigment and converts it into an electrical signal). The approach produces a quantitative variable that is calibrated to GBS concentration (colony-forming units per swab) and used to classify colonization status. Main contribution: a reproducible pipeline that converts chromogenic pigment intensity into a calibrated, numeric readout correlated to bacterial burden and validated against a composite clinical reference (selective-enrichment culture OR validated NAAT). Expected outcome: a rapid, low-cost, easy-to-interpret POC test that delivers quantitative results to support timely intrapartum decisions and improve detection of low-density carriers compared with visual reading alone.</w:t>
      </w:r>
    </w:p>
    <w:p>
      <w:r>
        <w:t xml:space="preserve"> </w:t>
      </w:r>
    </w:p>
    <w:p>
      <w:pPr>
        <w:pStyle w:val="Heading2"/>
      </w:pPr>
      <w:r>
        <w:t>Experiments</w:t>
      </w:r>
    </w:p>
    <w:p>
      <w:r>
        <w:t>Analytical LOD and inclusivity: select a strain panel of 12 groups (serotypes Ia, Ib, II, III, IV, V, VI–VIII grouped, non-typeable, and cfb-negative variants) with 5 isolates per group (60 isolates). For each isolate prepare serial dilutions to seed swabs at 10, 25, 50, 100, 250, 500, 1000 CFU/swab. Test 20 replicates per concentration on the chromogenic-spectro device to determine LOD defined as lowest CFU/swab with ≥95% detection. Measure genome copies per reaction by digital PCR on the same dilutions for traceability. Exclusivity: test 20 replicates each of related species (S. pyogenes, S. anginosus/mitis groups, Enterococcus faecalis/faecium, Gardnerella, Lactobacillus spp., E. coli) at 1e7 CFU/mL to confirm no cross-reactivity. On-cartridge enrichment pilot: n=60 negative-matrix swabs spiked at 10 and 100 CFU/swab; measure fold-enrichment and detection at timepoints 5,10,15,20,30 minutes; stopping rules if NTC false-positive rate &gt;1% or carryover in ≥2 runs. Clinical diagnostic study: enroll N=1,015 pregnant women (35–37 weeks and intrapartum subset) across 3–5 sites to yield ~203 positives assuming 20% prevalence. Collect paired lower vaginal–rectal dual swabs: one tested immediately on POC chromogenic-spectro (and by visual reader), the other sent for selective-enrichment culture and validated NAAT. Primary analysis: intent-to-diagnose including all tested; primary endpoint sensitivity and specificity versus composite reference (culture OR NAAT) with 95% Clopper-Pearson CIs. Sample-size justification: 203 positives required to estimate 95% sensitivity with ±3% 95% CI (Z=1.96). Interim analysis at 50% enrollment for futility only using O'Brien–Fleming spending; stop if conditional power to reach target sensitivity &lt;20%. Ablation studies: (1) device with on-cartridge enrichment versus direct amplification (no enrichment); (2) quantitative calibrated model (regression of absorbance to CFU) versus fixed absorbance threshold (binary); (3) swab type comparison (flocked vs rayon) and sampling order (rectovaginal vs vaginal-only). Evaluation metrics: sensitivity, specificity, PPV, NPV, ROC AUC for quantitative output, LOD (CFU/swab), limit of quantification, kappa agreement with culture, invalid/invalid-rate, time-to-result, and inter-operator CV. Statistical analyses: Clopper-Pearson 95% CIs for proportions, ROC analysis for continuous readout, and pre-specified latent-class model (covariates: culture result, index device result, NAAT result, recent antibiotics) as sensitivity analysis. Discordant arbitration: repeat NAAT, enhanced culture (48 h), species-specific PCR/sequencing; classify positive if ≥2/3 arbitration tests positive. Report per-protocol (exclude indeterminate) and intent-to-diagnose results.</w:t>
      </w:r>
    </w:p>
    <w:p>
      <w:r>
        <w:t xml:space="preserve"> </w:t>
      </w:r>
    </w:p>
    <w:p>
      <w:pPr>
        <w:pStyle w:val="Heading2"/>
      </w:pPr>
      <w:r>
        <w:t>Risk Factors And Limitations</w:t>
      </w:r>
    </w:p>
    <w:p>
      <w:r>
        <w:t>Pigment variability: some GBS strains (non-hemolytic or low-pigment variants) may produce insufficient chromogenic pigment and yield false negatives. Cross-reactive pigment: other species or mixed flora may generate pigment or absorbance signals causing false positives. Low-density carriage: low CFU/swab may require enrichment, increasing time-to-result and complexity. Pre-analytic variability: swab type, sampling order, and operator technique can change recovered CFU and bias results. Environmental effects: ambient light, temperature, and turbidity can affect spectrophotometric readings. Contamination: on-cartridge enrichment increases contamination risk and false positives if fluidics or seals fail. Population and prevalence bias: study estimates depend on true local prevalence; archived isolates used for inclusivity may not reflect current circulating strains. Manufacturing and cost: device and cartridge scale-up may exceed target per-test cost, limiting deployment. Regulatory uncertainty: acceptance of a pigment-based quantitative surrogate by regulators may require extensive arbitration data. Generalizability: performance demonstrated in study sites may not transfer to settings with different epidemiology or staff training levels.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