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tin_provenance_sn_pb_te</w:t>
      </w:r>
    </w:p>
    <w:p>
      <w:r>
        <w:t xml:space="preserve"> </w:t>
      </w:r>
    </w:p>
    <w:p>
      <w:pPr>
        <w:pStyle w:val="Heading2"/>
      </w:pPr>
      <w:r>
        <w:t>Title</w:t>
      </w:r>
    </w:p>
    <w:p>
      <w:r>
        <w:t>Integrating tin and lead isotope ratios with trace‑element fingerprints to identify tin sources for southern African bronzes, ca. 1200–1800 CE</w:t>
      </w:r>
    </w:p>
    <w:p>
      <w:r>
        <w:t xml:space="preserve"> </w:t>
      </w:r>
    </w:p>
    <w:p>
      <w:pPr>
        <w:pStyle w:val="Heading2"/>
      </w:pPr>
      <w:r>
        <w:t>Short Hypothesis</w:t>
      </w:r>
    </w:p>
    <w:p>
      <w:r>
        <w:t>Combining tin isotope ratios (δ118Sn), lead isotope ratios (206/204, 207/204, 208/204) and trace‑element patterns causes a statistically significant improvement in correct geographic assignment of tin sources for southern African bronzes (ca. 1200–1800 CE) compared with using lead isotopes or trace elements alone, as measured by assignment accuracy and narrower credible intervals of source proportions.</w:t>
      </w:r>
    </w:p>
    <w:p>
      <w:r>
        <w:t xml:space="preserve"> </w:t>
      </w:r>
    </w:p>
    <w:p>
      <w:pPr>
        <w:pStyle w:val="Heading2"/>
      </w:pPr>
      <w:r>
        <w:t>Related Work</w:t>
      </w:r>
    </w:p>
    <w:p>
      <w:r>
        <w:t>Previous approaches used single or paired proxies: lead isotopes have been widely applied but only trace the lead-bearing component (lead may have been added or recycled); trace‑element fingerprints (Sb, Bi, As, Ag, Ni, Zn) have been used to group artefacts by chemistry but are sensitive to smelting/refining and corrosion; tin isotopes (δ118Sn) are an emerging proxy that can potentially trace tin metal directly but published work lacks extensive ore baselines and inter‑lab standardization. Existing statistical methods are often qualitative or deterministic matching; few studies use fully probabilistic mixing models that propagate measurement and baseline uncertainty. Key unresolved issues: sparse and geographically biased ore reference data, signal dilution from recycling and mixing, surface alteration biasing trace signatures, inconsistent QA/QC and limited inter‑laboratory calibration, and inadequate treatment of compositional (closed‑sum) data in modelling.</w:t>
      </w:r>
    </w:p>
    <w:p>
      <w:r>
        <w:t xml:space="preserve"> </w:t>
      </w:r>
    </w:p>
    <w:p>
      <w:pPr>
        <w:pStyle w:val="Heading2"/>
      </w:pPr>
      <w:r>
        <w:t>Abstract</w:t>
      </w:r>
    </w:p>
    <w:p>
      <w:r>
        <w:t>We address the problem of identifying geographic tin sources for southern African bronzes dated ca. 1200–1800 CE by integrating tin isotope ratios, lead isotope ratios, and trace‑element concentrations. Tin isotopes (δ118Sn) measure tin metal directly, lead isotopes trace lead components, and trace elements provide ore/process fingerprints. We propose a multi‑proxy, probabilistic workflow that couples a hierarchical Bayesian mixing model with compositional preprocessing of trace elements and explicit measurement‑error modelling. The main contribution is a reproducible pipeline that: (1) combines δ118Sn, Pb isotopes, and trace elements with metallographic context; (2) uses a curated baseline of ore and ingot end‑members; and (3) quantifies uncertainty and identifiability limits via simulated and empirical mixture tests. Expected outcomes are higher assignment accuracy, quantified confidence intervals for source proportions, and clear limits on when provenance is indeterminate due to recycling or end‑member overlap. The work will produce open datasets, code, and standard operating criteria for archaeological isotope provenance studies.</w:t>
      </w:r>
    </w:p>
    <w:p>
      <w:r>
        <w:t xml:space="preserve"> </w:t>
      </w:r>
    </w:p>
    <w:p>
      <w:pPr>
        <w:pStyle w:val="Heading2"/>
      </w:pPr>
      <w:r>
        <w:t>Experiments</w:t>
      </w:r>
    </w:p>
    <w:p>
      <w:r>
        <w:t>Datasets: 153 archaeological tin and bronze artefacts from southern Africa (ca. 1200–1800 CE) as primary dataset; pilot subset of 30 artefacts for workflow validation; baseline reference dataset of 20–40 cassiterite ore, historic ingot, and slag samples from candidate regions (Cornwall/Devon, Iberia, Malay Archipelago/Indonesia, West/Central Africa e.g., Jos Plateau). Laboratory measurements: trace elements by solution ICP‑MS (Sb, Bi, As, Ag, Ni, Zn; concentrations in ppm or ppb), LA‑ICP‑MS spots as needed, Pb isotopes by TIMS or MC‑ICP‑MS (206/204, 207/204, 208/204), Sn isotopes by double‑spike MC‑ICP‑MS (δ118Sn) with documented on‑column masses. Metadata: sampling location on object, sample mass, conservation notes, metallography/SEM‑EDS images. Baselines for comparison: single‑proxy methods (Pb isotopes only; trace elements only) and combined proxies. Models: hierarchical Bayesian mixing model implemented in Stan using centered log‑ratio (clr) transform for trace elements (clr: transforms compositional data to real space), multivariate measurement error with option for t‑likelihood (robust to outliers), Dirichlet priors for proportions. Evaluation metrics: assignment accuracy (percent correctly assigned in synthetic tests), posterior credible interval width for dominant source proportion, RMSE of recovered source proportions, coverage probability (proportion of true values within 95% credible intervals), Mahalanobis distance between end‑members, and recovery rate for simulated mixtures. Experimental setup: 1) Calibration: run CRMs and blanks, measure repeatability; 2) Cross‑validation: leave‑one‑out on baseline end‑members to test identifiability; 3) Synthetic mixtures: generate 1000 simulated mixtures with known proportions across varying end‑member separations (Mahalanobis distances of 1, 2, 3) and noise levels; 4) Pilot run: analyze 30 artefacts and 20 baseline ores to validate lab workflows and model code; 5) Ablation studies: (A) remove Sn isotopes and quantify drop in accuracy; (B) remove trace elements; (C) remove Pb isotopes; (D) vary sample size per stratum (3, 5, 10) to measure effect on credible intervals; 6) Prior sensitivity: grid Dirichlet α ∈ {0.5,1,2} and end‑member variance priors and report changes in assignment; 7) Inter‑lab round robin: blind exchange of 10% of samples plus CRMs across two labs and report offsets. Reproducibility: publish Stan code, example datasets, and simulated recovery notebooks. Success criteria: combined multi‑proxy model shows statistically significant improvement over single‑proxy baselines on synthetic and empirical tests (e.g., higher accuracy and narrower credible intervals).</w:t>
      </w:r>
    </w:p>
    <w:p>
      <w:r>
        <w:t xml:space="preserve"> </w:t>
      </w:r>
    </w:p>
    <w:p>
      <w:pPr>
        <w:pStyle w:val="Heading2"/>
      </w:pPr>
      <w:r>
        <w:t>Risk Factors And Limitations</w:t>
      </w:r>
    </w:p>
    <w:p>
      <w:r>
        <w:t>Technical failure modes: low Sn content in some bronzes yields insufficient on‑column mass for precise δ118Sn, causing missing or very noisy Sn isotope data. Data biases: corrosion and surface enrichment can alter trace‑element signals; sampling interior metal is required but sometimes infeasible. Mixing limits: intense recycling or multiple source mixing can dilute end‑member signals until sources are non‑identifiable (overlapping end‑members). Baseline gaps: incomplete geographic coverage of cassiterite ores will limit attribution to unsampled regions. Inter‑lab variation: differences in spike materials, column chemistry, and calibration can introduce systematic offsets. Statistical limits: hierarchical Bayesian models may be computationally heavy and sensitive to prior choices; identifiability degrades when end‑member Mahalanobis distances are small. Ethical and practical constraints: destructive sampling limits imposed by museums or communities may prevent obtaining required sample mass. Generalization limits: results will be specific to the studied time period and geography and may not apply to other regions or eras.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