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phnom_dek_slag_trajectories</w:t>
      </w:r>
    </w:p>
    <w:p>
      <w:r>
        <w:t xml:space="preserve"> </w:t>
      </w:r>
    </w:p>
    <w:p>
      <w:pPr>
        <w:pStyle w:val="Heading2"/>
      </w:pPr>
      <w:r>
        <w:t>Title</w:t>
      </w:r>
    </w:p>
    <w:p>
      <w:r>
        <w:t>Compositional and microstructural analysis to identify smelting recipes and technological trajectories in Phnom Dek iron production (7th–20th c. CE)</w:t>
      </w:r>
    </w:p>
    <w:p>
      <w:r>
        <w:t xml:space="preserve"> </w:t>
      </w:r>
    </w:p>
    <w:p>
      <w:pPr>
        <w:pStyle w:val="Heading2"/>
      </w:pPr>
      <w:r>
        <w:t>Short Hypothesis</w:t>
      </w:r>
    </w:p>
    <w:p>
      <w:r>
        <w:t>Systematic variation in smelting operational parameters (ore type, fluxing, and airflow) produces distinct and reproducible slag chemical and microstructural signatures that are statistically separable and correspond to stratigraphic phases at Phnom Dek.</w:t>
      </w:r>
    </w:p>
    <w:p>
      <w:r>
        <w:t xml:space="preserve"> </w:t>
      </w:r>
    </w:p>
    <w:p>
      <w:pPr>
        <w:pStyle w:val="Heading2"/>
      </w:pPr>
      <w:r>
        <w:t>Related Work</w:t>
      </w:r>
    </w:p>
    <w:p>
      <w:r>
        <w:t>Previous archaeometallurgical studies combine microscopy (thin sections, SEM), bulk chemistry (XRF, ICP‑MS), microprobe (EPMA), mineralogy (XRD), spectroscopy (XANES/Mössbauer) and experimental smelts to interpret slag and metal residues. Statistical analyses have used PCA, cluster analysis and PERMANOVA to group slags. Limitations include: treating closed compositional data as unconstrained numbers (leading to spurious correlations), inconsistent use of compositional transforms (clr/ilr) and Aitchison distances, limited or missing matrix‑matched reference materials for slag matrices, small or uneven sample sizes, weak integration of high‑precision Fe isotope workflows, sparse experimental replication, and inconsistent QA/QC reporting. Chronological links are often coarse due to limited short‑lived dates and weak Bayesian modelling. Reproducibility is limited by lack of containerised analysis pipelines and standardized metadata.</w:t>
      </w:r>
    </w:p>
    <w:p>
      <w:r>
        <w:t xml:space="preserve"> </w:t>
      </w:r>
    </w:p>
    <w:p>
      <w:pPr>
        <w:pStyle w:val="Heading2"/>
      </w:pPr>
      <w:r>
        <w:t>Abstract</w:t>
      </w:r>
    </w:p>
    <w:p>
      <w:r>
        <w:t>This project tests whether operational choices in Phnom Dek iron smelting produce diagnostic slag signatures that reveal long‑term technological change. We combine a high‑resolution archaeological sample set with a factorial experimental smelt library and a compositional‑aware analytical pipeline. Key methods: petrography, SEM/EPMA, XRF/ICP‑MS, XRD, Fe K‑edge XANES/Mössbauer, and Fe double‑spike isotope analysis; data processing in ilr/clr (ilr isometric log‑ratio, clr centered log‑ratio) space with Aitchison distance (a distance for compositional data). Main contribution: an open, reproducible workflow that (1) applies correct compositional statistics to slag datasets, (2) quantifies multivariate effect sizes in transformed space, and (3) links archaeological clusters to experimentally validated recipes. Expected outcome: statistically robust assignment of slag clusters to operational recipes and temporal phases, a validated experimental reference library, and shared SOPs and containerised analysis tools for archaeometallurgy.</w:t>
      </w:r>
    </w:p>
    <w:p>
      <w:r>
        <w:t xml:space="preserve"> </w:t>
      </w:r>
    </w:p>
    <w:p>
      <w:pPr>
        <w:pStyle w:val="Heading2"/>
      </w:pPr>
      <w:r>
        <w:t>Experiments</w:t>
      </w:r>
    </w:p>
    <w:p>
      <w:r>
        <w:t>Datasets: archaeological: 150–250 slag fragments and 30–50 metal/slag‑metal samples stratified across 7th–20th c. phases (min 15 samples per phase where possible); provenance samples: 20–40 local ore specimens and 20–40 charcoal/fuel samples; experimental: factorial smelts varying ore (2–3 types), flux (none vs calibrated CaO), furnace geometry (2 configs) and airflow regimes (2 levels) with 3–5 replicates per cell. Analytical data per sample: thin‑section petrography, SEM‑BSE maps, EPMA spot analyses, XRD phases, XRF major oxides (fused beads), ICP‑MS trace/REE, Fe K‑edge XANES, Mössbauer where crystalline, MC‑ICP‑MS Fe isotopes (double‑spike). Baselines: (A) raw untransformed PCA + Euclidean PERMANOVA, (B) clr PCA + Euclidean PERMANOVA, (C) ilr PCA + Aitchison distance PERMANOVA (recommended). Preprocessing: closure to 100%, zero replacement, apply clr and ilr transforms (explain: ilr converts compositional vectors to real vectors). Statistical pipeline: Monte‑Carlo power simulations (10,000 iterations per scenario) in ilr space with multivariate Cohen’s d computed via Mahalanobis distance in ilr coordinates; PCA, hierarchical clustering, k‑means, LDA on ilr, random forest on clr with compositional-aware preprocessing. Cross‑validation: stratified k‑fold (k=10) and leave‑one‑site‑out; seed logging and reproducible RNG. Evaluation metrics: classification accuracy, balanced accuracy, F1, AUC where applicable; cluster separation: PERMANOVA p and R2 using Aitchison distance; multivariate effect size (Mahalanobis D) and statistical power estimates; calibration: match archaeological clusters to experimental runs by nearest‑neighbor in ilr + microstructure feature space. Ablations: compare results (1) with vs without experimental library, (2) with vs without Fe isotopes, (3) transforms: raw vs clr vs ilr. Software/tools: R (compositions, robCompositions, vegan, mvtnorm), FactSage for thermochemical comparisons. Reproducibility: containerised environment, seed logs, and unit tests run for simulation scripts.</w:t>
      </w:r>
    </w:p>
    <w:p>
      <w:r>
        <w:t xml:space="preserve"> </w:t>
      </w:r>
    </w:p>
    <w:p>
      <w:pPr>
        <w:pStyle w:val="Heading2"/>
      </w:pPr>
      <w:r>
        <w:t>Risk Factors And Limitations</w:t>
      </w:r>
    </w:p>
    <w:p>
      <w:r>
        <w:t>Compositional misanalysis: ignoring log‑ratio transforms can give false patterns; must use ilr/clr and Aitchison distance. Diagenesis and mobility: post‑depositional alteration can change chemistry and isotopes, reducing signal. CRM gaps: lack of certified slag standards may complicate calibration; in‑house matrix standards or interlab rounds may be needed. Sample bias and size: uneven phase sampling or low n in some phases will reduce power and generalisability. Chronology: old‑wood effects in radiocarbon and OSL dose heterogeneity can blur phase assignment. Experimental limits: small‑scale smelts may not reproduce all archaeological furnace dynamics. Fe isotope technical limits: low Fe mass in some slags risks poor precision; double‑spike blanks and column yields must be monitored. Permits and ethics: export/import rules and community permissions may restrict sample movement. Computational: Monte‑Carlo and thermochemical modelling require compute time; FactSage licensing and high‑precision MC‑ICP‑MS costs may constrain scope.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