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composite_bow_reassessment</w:t>
      </w:r>
    </w:p>
    <w:p>
      <w:r>
        <w:t xml:space="preserve"> </w:t>
      </w:r>
    </w:p>
    <w:p>
      <w:pPr>
        <w:pStyle w:val="Heading2"/>
      </w:pPr>
      <w:r>
        <w:t>Title</w:t>
      </w:r>
    </w:p>
    <w:p>
      <w:r>
        <w:t>Integrative imaging, biomolecular, and Bayesian chronological analysis to reassess evidence for the horn–wood–sinew composite bow in ancient Eurasia</w:t>
      </w:r>
    </w:p>
    <w:p>
      <w:r>
        <w:t xml:space="preserve"> </w:t>
      </w:r>
    </w:p>
    <w:p>
      <w:pPr>
        <w:pStyle w:val="Heading2"/>
      </w:pPr>
      <w:r>
        <w:t>Short Hypothesis</w:t>
      </w:r>
    </w:p>
    <w:p>
      <w:r>
        <w:t>If archaeological specimens were manufactured as true horn–wood–sinew composite bows, then they will show (a) two or more discrete lamination layers visible in high-resolution microCT imaging and (b) co-located molecular signatures of adhesives and animal proteins that produce direct AMS dates consistent with the same manufacture event, and specimens not manufactured as composites will fail to meet both criteria.</w:t>
      </w:r>
    </w:p>
    <w:p>
      <w:r>
        <w:t xml:space="preserve"> </w:t>
      </w:r>
    </w:p>
    <w:p>
      <w:pPr>
        <w:pStyle w:val="Heading2"/>
      </w:pPr>
      <w:r>
        <w:t>Related Work</w:t>
      </w:r>
    </w:p>
    <w:p>
      <w:r>
        <w:t>Existing research on ancient bows has relied mainly on typology (shape and form classification), iconography (art and depictions), and a small number of case studies with limited molecular or radiocarbon data. Prior imaging studies used low-resolution photography or occasional CT scans but lacked standardized voxel resolutions and metadata. Molecular studies of adhesives and protein components are sparse, often focused on single sites, and lack standardized pretreatment and authentication workflows. Chronological work frequently dated associated materials (textiles, charcoal) rather than bow components, producing ambiguous timelines. Experimental replication exists but varies widely in materials and tests, so mechanical signatures are not standardized. Major limitations are inconsistent definitions of “composite bow,” lack of integrated multi-method protocols, contamination from conservation treatments, and no large-scale inter-lab validation or standardized databases for cross-site comparison.</w:t>
      </w:r>
    </w:p>
    <w:p>
      <w:r>
        <w:t xml:space="preserve"> </w:t>
      </w:r>
    </w:p>
    <w:p>
      <w:pPr>
        <w:pStyle w:val="Heading2"/>
      </w:pPr>
      <w:r>
        <w:t>Abstract</w:t>
      </w:r>
    </w:p>
    <w:p>
      <w:r>
        <w:t>Problem: Claims about the origins and spread of the full horn–wood–sinew composite bow in ancient Eurasia are based on inconsistent definitions, iconography, typology, and fragmentary or indirect dates. Approach: We will integrate non-destructive high-resolution imaging (microCT), targeted micro-sampling for biomolecular assays (GC-MS for adhesives, ZooMS/proteomics for animal proteins, and compound-specific radiocarbon dating), and Bayesian chronological modeling (a statistical method that combines dates and stratigraphy) to directly test whether specimens are true laminated composite bows. Main contribution: a reproducible, pre-registered multi-method workflow, inter-lab blind validation, and a FAIR database of images, spectra, dates, and metadata that jointly distinguish composite from self-bow manufacture. Expected outcome: clear, testable classifications of candidate bows, robust direct dates tied to bow components, and measured mechanical and molecular signatures that improve inference about technological origins and diffusion across the Eurasian Steppe.</w:t>
      </w:r>
    </w:p>
    <w:p>
      <w:r>
        <w:t xml:space="preserve"> </w:t>
      </w:r>
    </w:p>
    <w:p>
      <w:pPr>
        <w:pStyle w:val="Heading2"/>
      </w:pPr>
      <w:r>
        <w:t>Experiments</w:t>
      </w:r>
    </w:p>
    <w:p>
      <w:r>
        <w:t>Datasets: prioritized specimens from Pazyryk kurgans (Hermitage), Arzhan-1 and Arzhan-2 (Tuva), Berel and Issyk (Kazakhstan), a sample of Tasmola/Tagar/Sintashta-related kurgans, and museum-accessioned fragments; experimental replica set of laminated and self-bows. Baselines: (1) typology/iconography classification, (2) microCT-only classification, (3) experimental-signature classification from replica library. Assays: microCT imaging (voxel 10–20 µm; 16-bit TIFF stacks), GC-MS and pyrolysis-GC-MS for adhesives (raw chromatograms, mzML/RAW), ZooMS (collagen fingerprinting) and LC-MS/MS proteomics (raw spectra), AMS radiocarbon on bulk organics and compound-specific radiocarbon (CSRA) on extracted adhesive fractions. Pilot detection-limit study: run adhesive assays on reference degraded samples at masses 1, 5, 10, 20, 50 mg to produce detection-limit vs sample-mass curves. Sampling limits: ≤20 mg per assay where feasible, note CSRA pilot mass requirements. Inter-lab blind validation: distribute n=30 coded samples per assay type to ≥2 AMS labs and ≥3 biomolecular labs; blind set to include ≥8 known positives and ≥8 known negatives. Evaluation metrics: classification accuracy, precision/recall, false positive rate, Bray–Curtis similarity for molecular profiles, proteomic authentication metrics (peptide/protein FDR ≤1%, deamidation rate distributions), AMS date concordance (difference in years within 2σ), Bayes factor for model hypotheses (&gt;3 moderate, &gt;10 strong). Experimental setup: for each archaeological specimen run microCT → non-destructive spectroscopy → targeted microdrill (from existing breaks/hidden surfaces) → split micro-subsamples for GC-MS, ZooMS/proteomics, AMS/CSRA; run replica mechanical tests (draw weights 30–70 lb, conditioning 20±2°C/50% RH, provisional 2,000 cycles, n≥8 per variant) and compare wear metrics (microCT/SEM-based crack location and density). Ablation studies: compare full pipeline vs (a) no proteomics, (b) no CSRA, (c) microCT-only to quantify incremental benefit of each assay.</w:t>
      </w:r>
    </w:p>
    <w:p>
      <w:r>
        <w:t xml:space="preserve"> </w:t>
      </w:r>
    </w:p>
    <w:p>
      <w:pPr>
        <w:pStyle w:val="Heading2"/>
      </w:pPr>
      <w:r>
        <w:t>Risk Factors And Limitations</w:t>
      </w:r>
    </w:p>
    <w:p>
      <w:r>
        <w:t>Preservation: organic components (adhesives, sinew, horn) may be too degraded for molecular assays, causing false negatives. Contamination: past conservation treatments can mask original signals and bias biomolecular and radiocarbon results. Sample mass limits: some assays (CSRA, proteomics) may require more material than permitted by curators, limiting analysis or requiring pooling. Inter-lab variability: degraded profiles may yield low reproducibility across labs, reducing confidence in concordance metrics. Chronological uncertainty: reservoir effects or residual contaminants may skew CSRA/AMS dates. Permits and access: museum or national permit delays can delay or preclude sampling. Generalization: results will be strongest for well-preserved kurgan contexts and may not generalize to poorly preserved sites or different depositional environments. Ethical/stakeholder constraints: local stakeholder restrictions may limit destructive sampling and data sharing. Computational limits: high-resolution microCT and LC-MS/MS raw data require substantial storage and processing resources.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