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western_europe_pleistocene_dispersal</w:t>
      </w:r>
    </w:p>
    <w:p>
      <w:r>
        <w:t xml:space="preserve"> </w:t>
      </w:r>
    </w:p>
    <w:p>
      <w:pPr>
        <w:pStyle w:val="Heading2"/>
      </w:pPr>
      <w:r>
        <w:t>Title</w:t>
      </w:r>
    </w:p>
    <w:p>
      <w:r>
        <w:t>Multi-proxy chronostratigraphic and biomolecular testing of dispersal and population dynamics of early to middle Pleistocene hominins in western Europe</w:t>
      </w:r>
    </w:p>
    <w:p>
      <w:r>
        <w:t xml:space="preserve"> </w:t>
      </w:r>
    </w:p>
    <w:p>
      <w:pPr>
        <w:pStyle w:val="Heading2"/>
      </w:pPr>
      <w:r>
        <w:t>Short Hypothesis</w:t>
      </w:r>
    </w:p>
    <w:p>
      <w:r>
        <w:t>If climatic amelioration windows caused pulsed hominin dispersals into western Europe during the early to middle Pleistocene, then independent multi-method dated occupation horizons will be temporally clustered after those windows and will show increased artifact density and higher biomolecular diversity compared with intervening periods.</w:t>
      </w:r>
    </w:p>
    <w:p>
      <w:r>
        <w:t xml:space="preserve"> </w:t>
      </w:r>
    </w:p>
    <w:p>
      <w:pPr>
        <w:pStyle w:val="Heading2"/>
      </w:pPr>
      <w:r>
        <w:t>Related Work</w:t>
      </w:r>
    </w:p>
    <w:p>
      <w:r>
        <w:t>Prior approaches combine sediment dating (OSL: luminescence dating of mineral grains; ESR/U-series: electron spin resonance and uranium-series dating of teeth/speleothems), lithic analysis (chaîne opératoire: study of tool production sequences), taphonomy (study of site formation and modification), proteomics/aDNA attempts, and spatial-statistical clustering. Work to date shows rich site-level interpretation but suffers from uneven chronologies, inconsistent lab protocols, ad-hoc contamination thresholds for biomolecules, low biomolecular yield at early Pleistocene ages, and variable spatial-statistics procedures. Geochronology studies often rely on single-method ages or bulk-sediment aliquots (less precise), while biomolecular studies lack harmonized QC and inter-lab replication. Lithic studies vary in attribute sets, preventing large-scale comparison. Modeling efforts exist (agent-based and Bayesian), but many use point ages rather than full posterior age distributions and therefore under-represent chronological uncertainty. Overall, methods are complementary but not yet harmonized for auditable, cross-site hypothesis testing.</w:t>
      </w:r>
    </w:p>
    <w:p>
      <w:r>
        <w:t xml:space="preserve"> </w:t>
      </w:r>
    </w:p>
    <w:p>
      <w:pPr>
        <w:pStyle w:val="Heading2"/>
      </w:pPr>
      <w:r>
        <w:t>Abstract</w:t>
      </w:r>
    </w:p>
    <w:p>
      <w:r>
        <w:t>The project addresses when and how early to middle Pleistocene hominins occupied western Europe by implementing a harmonized, auditable multi-proxy framework linking field sampling, geochronology, biomolecular analysis, lithic taphonomy, and population modeling. We will run two pilot surveys (one fluvial terrace, one karstic cave) using predefined sampling densities, standardized lab diagnostics, inter-lab blind replicates, and Monte Carlo calibration of spatial thresholds. The main contribution is a site-adaptable SOP package that (1) defines numeric acceptance criteria for OSL/pIRIR/ESR diagnostics, biomolecular blank and contamination thresholds, and proteomic QC metrics; (2) operationalizes spatial-statistics with 3D uncertainty propagation; and (3) integrates full posterior age distributions into agent-based demographic models to test pulsed versus continuous dispersal scenarios. Expected outcomes are: reproducible secure occupation chronologies, quantified taphonomic confidence per horizon, calibrated predictive maps for future surveys, and demonstrable model selection between competing dispersal hypotheses. The work will produce open datasets, containerized analysis scripts, and example QC reports to enable audit and reuse.</w:t>
      </w:r>
    </w:p>
    <w:p>
      <w:r>
        <w:t xml:space="preserve"> </w:t>
      </w:r>
    </w:p>
    <w:p>
      <w:pPr>
        <w:pStyle w:val="Heading2"/>
      </w:pPr>
      <w:r>
        <w:t>Experiments</w:t>
      </w:r>
    </w:p>
    <w:p>
      <w:r>
        <w:t>Datasets: (1) Field pilot A — fluvial terrace sequence with multiple terrace levels (target: 6–10 putative occupation horizons); (2) Field pilot B — karstic cave fill sequence (target: 4–6 horizons); (3) Simulated ensembles for Monte Carlo calibration of spatial and refit thresholds; (4) Inter-lab blind replicate results for proteomics and OSL. Baselines: (A) Unharmonized single-method chronology (OSL-only, bulk aliquots); (B) Current-site-level lithic recording without standardized attributes; (C) Demographic models using point-age inputs. Measurements and metrics: number of securely dated occupation horizons (count), median 2σ age uncertainty per horizon (years), proportion of horizons meeting “high-confidence in situ” taphonomic rubric (fraction), artifact density (items/m2), refit rate (% of assemblage in refits), spatial-cluster p-value (DBSCAN + Ripley’s K), biomolecular yield success rate (fraction of targeted samples yielding usable proteomic sequences), proteomic QC: PSM count (peptide-spectrum matches), sequence coverage (%), per-site deamidation distribution (percent deamidated sites), contamination metrics for aDNA (endogenous fraction %, contamination estimate % using Schmutzi/ANGSD/PMDtools). Geochronology diagnostics: OSL single-grain accepted grain count (n), overdispersion (%), recuperation (%) and dose-recovery deviation (%). Modeling metrics: WAIC (model information criterion), predictive AUC for spatial probability surfaces, posterior predictive coverage (proportion of true horizons within predictive intervals). Experimental setup: apply SOP-specified sampling densities (4–6 single-grain OSL samples per stratigraphic unit; target 10 faunal specimens/horizon ideal, tiered to minimal 3), micromorphology blocks every 0.25–0.5 m, 3D recording precision target ≤5 cm. Blind inter-lab replicates on ≥20% of biomolecular and OSL samples. Compare protocols: (1) Harmonized multi-proxy pipeline vs Baseline A and B; (2) Agent-based models using full posterior age distributions vs the same models using point-age means. Ablation studies: remove proteomics pipeline and measure change in species attribution and model fit; replace single-grain OSL with multi-grain aliquot OSL and measure change in horizon acceptance and age uncertainty; remove micromorphology and measure change in proportion of horizons classified as in-situ. Statistical tests: paired comparisons of age uncertainty (Wilcoxon signed-rank), model comparison by WAIC differences, significance of clustering p-values (Monte Carlo FDR-corrected). Reproducibility: publish containerized analysis scripts and example QC reports for each pilot.</w:t>
      </w:r>
    </w:p>
    <w:p>
      <w:r>
        <w:t xml:space="preserve"> </w:t>
      </w:r>
    </w:p>
    <w:p>
      <w:pPr>
        <w:pStyle w:val="Heading2"/>
      </w:pPr>
      <w:r>
        <w:t>Risk Factors And Limitations</w:t>
      </w:r>
    </w:p>
    <w:p>
      <w:r>
        <w:t>Low biomolecular preservation leading to failed proteomics or no retrievable aDNA; this limits taxonomic and population signals. High OSL overdispersion or poor bleaching leads to ambiguous ages and may force reliance on fewer chronometers. Complex U-uptake in ESR causes model non-uniqueness and large age uncertainty. Fluvial reworking or bioturbation may destroy primary context, reducing refit rates and invalidating occupation inference. Small sample sizes at some sites will reduce statistical power for Monte Carlo calibration and model identifiability. Permit, curation, or destructive-sampling restrictions may cap biomolecular and dating sampling. Site-to-site geomorphic variability limits direct generalization of numeric thresholds; pilots are required for local calibration. Agent-based demographic models may be compute-intensive for large ensembles and sensitive to prior choices, limiting interpretability when data are sparse. Ethical and stakeholder constraints (museum policies, landowners) may delay data sharing or embargo timelines, limiting timely external audit.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