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english_policy_misrecognition_bgd</w:t>
      </w:r>
    </w:p>
    <w:p>
      <w:r>
        <w:t xml:space="preserve"> </w:t>
      </w:r>
    </w:p>
    <w:p>
      <w:pPr>
        <w:pStyle w:val="Heading2"/>
      </w:pPr>
      <w:r>
        <w:t>Title</w:t>
      </w:r>
    </w:p>
    <w:p>
      <w:r>
        <w:t>Randomized vignette and mixed-methods study of how English-in-education policy framings affect individualizing discourse among teachers, parents, and students in a low-income Bangladeshi school</w:t>
      </w:r>
    </w:p>
    <w:p>
      <w:r>
        <w:t xml:space="preserve"> </w:t>
      </w:r>
    </w:p>
    <w:p>
      <w:pPr>
        <w:pStyle w:val="Heading2"/>
      </w:pPr>
      <w:r>
        <w:t>Short Hypothesis</w:t>
      </w:r>
    </w:p>
    <w:p>
      <w:r>
        <w:t>Reading English-in-education policy texts framed as individual development (human-capital) causes teachers and parents to produce more individualizing and deficit-oriented attributions about students' language learning than reading structurally-framed policy texts that emphasize social and material conditions.</w:t>
      </w:r>
    </w:p>
    <w:p>
      <w:r>
        <w:t xml:space="preserve"> </w:t>
      </w:r>
    </w:p>
    <w:p>
      <w:pPr>
        <w:pStyle w:val="Heading2"/>
      </w:pPr>
      <w:r>
        <w:t>Related Work</w:t>
      </w:r>
    </w:p>
    <w:p>
      <w:r>
        <w:t>Prior work includes critical governmentality and language policy studies that use discourse analysis and ethnography to show how policy ideas shape school practices and identities; sociolinguistic classroom studies revealing erasure of multilingual repertoires; and quantitative policy-evaluation research using administrative data to measure attainment gaps. Limitations across these bodies are (1) descriptive bias: many studies document associations without direct causal tests of how policy language changes actor beliefs or talk; (2) measurement gaps: subjective constructs such as "voice", "respect", and "visibility" are often operationalised inconsistently and lack validated item ontologies; (3) weak integration: few studies combine randomized manipulations with rich qualitative validation, so misrecognition mechanisms are not experimentally isolated; (4) contextual narrowness: most large-scale quantitative work is set in the Global North, while detailed ethnographies of policy enactment in low-income South Asian schools are scarce, limiting evidence on cross-context validity.</w:t>
      </w:r>
    </w:p>
    <w:p>
      <w:r>
        <w:t xml:space="preserve"> </w:t>
      </w:r>
    </w:p>
    <w:p>
      <w:pPr>
        <w:pStyle w:val="Heading2"/>
      </w:pPr>
      <w:r>
        <w:t>Abstract</w:t>
      </w:r>
    </w:p>
    <w:p>
      <w:r>
        <w:t>This study tests whether the way English-in-education policy is worded changes how teachers, parents, and older students explain and respond to language learning difficulties in a low-income Bangladeshi school. We combine a randomized vignette experiment (short policy texts randomly assigned) with classroom observation, interviews, and coded discourse analysis. The core contribution is causal evidence linking policy framing to measurable shifts in individualizing versus structural attributions and to changes in classroom talk. We operationalize two composite indices: a Subject-Position index capturing labeling, sanctioning, and performance framing; and a Recognitional-Justice index capturing visibility, voice, and respect. Expected outcomes are: (a) exposure to human-capital framed texts increases deficit attributions and sanctioning intent, and (b) exposure to structurally-framed texts reduces individualizing talk and increases mentions of social causes. Results will produce a validated codebook, pre-registered analysis scripts, and reproducible mixed-methods evidence to inform policy wording and teacher support interventions.</w:t>
      </w:r>
    </w:p>
    <w:p>
      <w:r>
        <w:t xml:space="preserve"> </w:t>
      </w:r>
    </w:p>
    <w:p>
      <w:pPr>
        <w:pStyle w:val="Heading2"/>
      </w:pPr>
      <w:r>
        <w:t>Experiments</w:t>
      </w:r>
    </w:p>
    <w:p>
      <w:r>
        <w:t>Design: three-arm randomized vignette experiment plus mixed-method triangulation. Arms: (A) human-capital framing vignette (policy text emphasizing individual development and metrics), (B) structural-context framing vignette (policy text emphasizing poverty, housing, and community supports), (C) neutral control vignette (fact-only description). Vignette = short policy excerpt ~250 words. Participants: teachers (N=60; 20 per arm), parents (N=240; 80 per arm), older students age 14–16 (N=180; 60 per arm). Power: with 80% power and alpha=0.05 we can detect standardized effect size d≈0.5 between two arms with n≈64 per group; target per-arm samples set above this for parents and students; teacher analyses treated as exploratory if underpowered. Primary outcomes: (1) Attribution score (continuous): 10-item scale measuring individualizing vs structural attribution (higher = more individualizing). (2) Deficit-language frequency: count of deficit-coded tokens per 1000 words in open responses and interview transcripts (coded 0/1/2 intensity per excerpt). (3) Sanctioning intent (binary): endorsement of accountability actions (yes/no). Secondary outcomes: Subject-Position index (0–6), Recognitional-Justice index (standardized). Data collection: immediate post-vignette survey with Likert items, open-text responses, and a subset of participants (teachers n=30, parents n=40, students n=60) invited for recorded semi-structured interviews and classroom observation (30 hours total). Coding: two independent coders per transcript using pre-registered codebook; report Cohen's kappa and resolve disagreements by third coder. Baselines: neutral control and pre-vignette baseline measures of beliefs where feasible. Analysis: compare arms with OLS/linear regression for continuous outcomes and logistic regression for binary outcomes; include covariates age, gender, socioeconomic proxy (FSM-equivalent), and prior exposure to English instruction; cluster SEs at classroom level for student outcomes. Mixed-effects models: random intercepts for participant nested in classroom for students, and for school where multiple sites used. Multiple testing: pre-specify primary contrasts (A vs B, A vs C, B vs C) and control false discovery rate with Benjamini-Hochberg; report unadjusted and adjusted p-values and 95% CIs. Ablations: (i) metric-presence test—two versions of human-capital vignette with and without numeric metrics (test-scores) to isolate effect of commensuration, (ii) audience framing test—same vignette with teacher-targeted vs parent-targeted language. Validation: triangulate survey experiment results with qualitative thematic analysis of interviews and classroom discourse; correlate quantitative indices with coded qualitative theme scores; report convergent or divergent findings. Reproducibility: preregister protocol and analysis plan, provide synthetic data and analysis scripts in public repository, preserve raw recordings in secure TRE with access logs.</w:t>
      </w:r>
    </w:p>
    <w:p>
      <w:r>
        <w:t xml:space="preserve"> </w:t>
      </w:r>
    </w:p>
    <w:p>
      <w:pPr>
        <w:pStyle w:val="Heading2"/>
      </w:pPr>
      <w:r>
        <w:t>Risk Factors And Limitations</w:t>
      </w:r>
    </w:p>
    <w:p>
      <w:r>
        <w:t>Small-sample risk: single-school setting limits generalizability beyond the site and reduces power for teacher-level effects. Social-desirability bias: participants may alter responses to appear supportive of children, biasing measured effects. Ecological validity: short vignette exposures may not capture long-term policy internalization; real policy influence unfolds over time. Coding and construct validity: subjective indices (voice, respect, visibility) risk misclassification and coder bias despite IRR checks; stakeholder validation may still leave ambiguity. Language and translation errors: translation of vignettes and interviews can change framing and meaning. Political sensitivity and consent: discussing policy and disadvantage may create disclosure or reputational risks for participants and the school. Data privacy: audio and qualitative transcripts contain sensitive identifiers requiring strict governance. Measurement error: administrative proxies for socioeconomic status may be imperfect in this context. Multiple testing and inference: many contrasts raise false positive risk if pre-specification is weak. Causal limits: the vignette experiment isolates short-term framing effects on beliefs and talk, but it does not by itself prove long-term changes in classroom practice or student attainment.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