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artificial_creativity</w:t>
      </w:r>
    </w:p>
    <w:p>
      <w:r>
        <w:t xml:space="preserve"> </w:t>
      </w:r>
    </w:p>
    <w:p>
      <w:pPr>
        <w:pStyle w:val="Heading2"/>
      </w:pPr>
      <w:r>
        <w:t>Title</w:t>
      </w:r>
    </w:p>
    <w:p>
      <w:r>
        <w:t>Hierarchical latent models with novelty-conditioned guidance for assessing creativity in opaque AI-generated outputs</w:t>
      </w:r>
    </w:p>
    <w:p>
      <w:r>
        <w:t xml:space="preserve"> </w:t>
      </w:r>
    </w:p>
    <w:p>
      <w:pPr>
        <w:pStyle w:val="Heading2"/>
      </w:pPr>
      <w:r>
        <w:t>Short Hypothesis</w:t>
      </w:r>
    </w:p>
    <w:p>
      <w:r>
        <w:t>Adding disentangled novelty conditioning and moderate novelty-guidance to a hierarchical latent generation model causes an increase in human-rated creativity (higher novelty and maintained usefulness) compared to the same model without novelty conditioning.</w:t>
      </w:r>
    </w:p>
    <w:p>
      <w:r>
        <w:t xml:space="preserve"> </w:t>
      </w:r>
    </w:p>
    <w:p>
      <w:pPr>
        <w:pStyle w:val="Heading2"/>
      </w:pPr>
      <w:r>
        <w:t>Related Work</w:t>
      </w:r>
    </w:p>
    <w:p>
      <w:r>
        <w:t>Existing generative approaches include GANs, VAEs, and diffusion models for images and autoregressive transformers for text and music. Work on hierarchical architectures and latent-space decoders combines global planning with local high-fidelity rendering but often lacks explicit novelty control. Methods for disentangling latent factors (style, content) exist, typically using supervised or contrastive losses, yet they rarely include a separate novelty factor. Diversity regularizers (entropy terms, determinantal point processes or DPP) and classifier-free guidance are used to trade off fidelity and diversity, but prior evaluations emphasize fidelity metrics (e.g., FID) or perceptual alignment (e.g., CLIP-score) rather than joint novelty-usefulness trade-offs. Human-evaluation studies of creativity are fragmented, with inconsistent rubrics and limited cross-domain benchmarks. Open problems include operational definitions of novelty, surprise, and serendipity, robustness of novelty detectors to adversarial inputs, reproducibility of creative claims, and how opaque correlations to human data affect authorship and perceived creativity.</w:t>
      </w:r>
    </w:p>
    <w:p>
      <w:r>
        <w:t xml:space="preserve"> </w:t>
      </w:r>
    </w:p>
    <w:p>
      <w:pPr>
        <w:pStyle w:val="Heading2"/>
      </w:pPr>
      <w:r>
        <w:t>Abstract</w:t>
      </w:r>
    </w:p>
    <w:p>
      <w:r>
        <w:t>This project studies whether AI outputs that are correlated to human data in opaque ways can be considered creative by building models and measurements that separate novelty from fidelity and usefulness. We develop a hierarchical latent generator that pairs a broad-context planner (transformer) with a high-fidelity latent decoder (diffusion or VAE). Latents are disentangled into content, style, and novelty factors; a learned novelty predictor in representation space (φ) enables novelty-conditioned sampling using classifier-free guidance (a method to steer generation without external classifiers). Training includes diversity-promoting objectives (entropy on latents, DPP batch regularizers) and a cross-domain curriculum to encourage concept fusion. The main contributions are: (1) formal, computable definitions of novelty, surprise, and serendipity; (2) a prototype model and reproducible pipeline; and (3) a multi-axis evaluation combining automated metrics and human judgments to test the novelty–usefulness trade-off. Expected outcome: concrete, testable evidence about whether and how opaque AI outputs meet criteria used to judge human creativity.</w:t>
      </w:r>
    </w:p>
    <w:p>
      <w:r>
        <w:t xml:space="preserve"> </w:t>
      </w:r>
    </w:p>
    <w:p>
      <w:pPr>
        <w:pStyle w:val="Heading2"/>
      </w:pPr>
      <w:r>
        <w:t>Experiments</w:t>
      </w:r>
    </w:p>
    <w:p>
      <w:r>
        <w:t>Datasets: image set = COCO subset + OpenImages + WikiArt; music set = MAESTRO + Lakh MIDI subset; text set = Project Gutenberg + curated short stories. Representation φ: image = CLIP ViT embeddings (CLIP is a joint image-text encoder), text = sentence-BERT embeddings, audio = Wav2Vec2 embeddings. Baselines: (A) diffusion decoder with no hierarchical planner, (B) hierarchical model without novelty conditioning, (C) state-of-the-art public models (Stable Diffusion v1.5 for images; GPT-2/GPT-J for text). Proposed model: hierarchical transformer planner + latent diffusion/VAE decoder with disentangled latents (style, content, novelty) and learned novelty predictor. Metrics: fidelity = FID and CLIP-score (for images), reconstruction loss (for audio/text); diversity/novelty = self-BLEU, intra-cluster distance, negative log-density under q_train(φ) as novelty = -log q̂_train(φ(x)) (q̂ is a density fitted on φ), KL divergence to training distribution, representation-space surprisal S(x) = -log p_model(φ(x)|context); retrieval metrics = MRR and nDCG for cross-domain usefulness; human evaluation = paired A/B preference, Likert ratings for novelty, usefulness, coherence, and open-text rationales. Experimental setup: prototype on image concept-fusion task; grid over latent dimensionality D ∈ {32,128,512} and guidance strength g ∈ {0,0.5,1.0,1.5,2.0}; DPP λ ∈ {0,1e-4,1e-3,1e-2}; entropy weight β ∈ {0,0.1,0.5,1.0}; seeds = {42,2024,7}. Ablation: full factorial comparison of guidance strength × latent size with 3 seeds; evaluate automated metrics each run and then sample balanced outputs for human A/B with within-subject N≈60 (power for d≈0.3). Analysis: pre-registered Bayesian multilevel model (participant and item random intercepts) and equivalent lme4 frequentist mixed-effects formulas; report posterior probabilities, credible intervals, and ROPE decisions.</w:t>
      </w:r>
    </w:p>
    <w:p>
      <w:r>
        <w:t xml:space="preserve"> </w:t>
      </w:r>
    </w:p>
    <w:p>
      <w:pPr>
        <w:pStyle w:val="Heading2"/>
      </w:pPr>
      <w:r>
        <w:t>Risk Factors And Limitations</w:t>
      </w:r>
    </w:p>
    <w:p>
      <w:r>
        <w:t>Representation bias: chosen φ embeddings may emphasize style over content or vary by culture, skewing novelty estimates. Novelty classifier fragility: novelty detectors trained on φ can be adversarially manipulated or overfit to training-era distributions. Human-eval bias: cultural differences and rater expertise will affect novelty/usefulness judgments and may reduce inter-rater agreement. Metric mismatch: automated metrics (FID, CLIP-score, self-BLEU, density estimates) may not align with human notions of creativity. Data and IP limits: licensed or copyrighted training data can limit release of artifacts and affect perceived authorship. Compute and scale: hierarchical models with DPP and large latent search may require high compute, limiting replication. Generalization limits: cross-domain curriculum benefits on one domain (images) may not transfer to music or text. Reproducibility: stochastic sampling and non-deterministic GPU behavior can complicate exact replication. Ethical/attribution limits: opacity in training-data influence complicates claims about authorship and creative agency.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