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social_cohesion_index_africa</w:t>
      </w:r>
    </w:p>
    <w:p>
      <w:r>
        <w:t xml:space="preserve"> </w:t>
      </w:r>
    </w:p>
    <w:p>
      <w:pPr>
        <w:pStyle w:val="Heading2"/>
      </w:pPr>
      <w:r>
        <w:t>Title</w:t>
      </w:r>
    </w:p>
    <w:p>
      <w:r>
        <w:t>Psychometric development and experimental validation of a modular Social Cohesion Index for African settings using household surveys and expert data</w:t>
      </w:r>
    </w:p>
    <w:p>
      <w:r>
        <w:t xml:space="preserve"> </w:t>
      </w:r>
    </w:p>
    <w:p>
      <w:pPr>
        <w:pStyle w:val="Heading2"/>
      </w:pPr>
      <w:r>
        <w:t>Short Hypothesis</w:t>
      </w:r>
    </w:p>
    <w:p>
      <w:r>
        <w:t>A randomized improvement in equitable local public service delivery causes an increase in individual-level social cohesion latent scores (trust, cooperation, and sense of belonging) within six months.</w:t>
      </w:r>
    </w:p>
    <w:p>
      <w:r>
        <w:t xml:space="preserve"> </w:t>
      </w:r>
    </w:p>
    <w:p>
      <w:pPr>
        <w:pStyle w:val="Heading2"/>
      </w:pPr>
      <w:r>
        <w:t>Related Work</w:t>
      </w:r>
    </w:p>
    <w:p>
      <w:r>
        <w:t>Existing approaches measure pieces of social cohesion (trust, participation, or inequality) but lack a unified, operational index spanning identity, trust, and cooperation across horizontal (between people/groups) and vertical (people–state) dimensions. Household surveys (e.g., national public opinion panels) capture individual trust and participation but often use ad hoc item sets that fail psychometric invariance across languages and sites. Expert datasets (institutional indicators) provide macro measures but do not map to individual perceptions or networks. Network studies add structural context but are rarely integrated with national surveys. Arts-based and qualitative indicators have been proposed but lack standardized codebooks and reliability benchmarks. Common weaknesses: inconsistent item banks, weak cross-site comparability, limited treatment of differential item functioning (DIF), sparse longitudinal validation, and few GBV-safe protocols. There is also limited evidence on how network bridging/linking measures and arts-derived indicators improve predictive validity for conflict or cooperation outcomes.</w:t>
      </w:r>
    </w:p>
    <w:p>
      <w:r>
        <w:t xml:space="preserve"> </w:t>
      </w:r>
    </w:p>
    <w:p>
      <w:pPr>
        <w:pStyle w:val="Heading2"/>
      </w:pPr>
      <w:r>
        <w:t>Abstract</w:t>
      </w:r>
    </w:p>
    <w:p>
      <w:r>
        <w:t>Measuring social cohesion in African contexts requires a valid, cross-site tool that links individual perceptions, social networks, and institutional strength. We propose a modular Social Cohesion Index that operationalizes cohesion as inclusive identity, trust/reciprocity, and cooperation for the common good, measured along horizontal and vertical dimensions. The approach integrates household survey items, expert institutional indicators, social network measures, and structured arts-derived indicators into a psychometrically validated index. Main contributions are: (1) a core cross-cultural item bank and optional context modules; (2) a pre-specified psychometric pipeline using confirmatory factor analysis and item response theory to produce comparable latent scores; and (3) an experimental test of causal links between equitable service delivery and cohesion using cluster-randomized interventions. Expected outcomes are a validated, modular index with documented measurement properties, a set of operational protocols (translation, DIF rules, arts codebook, network elicitation), and empirical estimates of responsiveness to policy-relevant interventions. The tool is intended for researchers and policymakers seeking reproducible cohesion measurement across diverse African settings.</w:t>
      </w:r>
    </w:p>
    <w:p>
      <w:r>
        <w:t xml:space="preserve"> </w:t>
      </w:r>
    </w:p>
    <w:p>
      <w:pPr>
        <w:pStyle w:val="Heading2"/>
      </w:pPr>
      <w:r>
        <w:t>Experiments</w:t>
      </w:r>
    </w:p>
    <w:p>
      <w:r>
        <w:t>Datasets: (1) Existing rounds of Afrobarometer household surveys for retrospective calibration (country-specific strata). (2) V-Dem expert indicators for state-level institutional covariates. (3) New multi-site pilot primary data: 8 sites across 4 countries, per-site baseline N=800 individuals (clustered by community, average cluster size 40 households), two follow-up waves at 6 and 12 months. (4) Conflict/administrative event logs and service delivery administrative metrics for external validity. Baselines: (A) Trust-only composite from household questions (baseline comparator). (B) Aggregated Afrobarometer composite (existing ad hoc index). (C) No-arts/no-network ablation. Metrics: CFA fit indices (CFI, TLI, RMSEA), reliability (McDonald’s omega), test–retest ICC, item information (IRT Fisher information), DIF detection statistics (ordinal logistic regression pseudo-R2 and IRT Δa/Δb), predictive validity (AUC or R-squared for predicting community-level collective action events and conflict incidents), and responsiveness (standardized mean difference d). Experimental setup: cluster-randomized controlled trial (CRT) at community level; randomize 80 clusters per country into treatment (service-delivery improvement) or control; pre-specified minimum detectable effect d=0.20 at 80% power, α=0.05, assumed ICC=0.05, cluster size=40, design effect applied. Psychometric pipeline: pre-register CFA second-order model (five domains loading on global cohesion), then apply Graded Response Model (GRM) for Likert items (GRM is chosen because it models ordered categorical responses; explanation: it estimates how well each item discriminates across levels of the trait), Partial Credit Model (PCM) for frequency items, and 2PL for binary items. Decision rules: if local dependence (LD) residual correlations &gt; |0.20| or modification indices indicate cross-loadings, allow correlated errors or split items; if GRM fit poor (RMSEA &gt; 0.08 or CFI &lt; 0.95) test MIRT or bifactor models. DIF and invariance tests: sequential configural→metric→scalar tests with thresholds ΔCFI ≤ 0.01 and ΔRMSEA ≤ 0.015 for acceptance; flag items with pseudo-R2 &gt; 0.02 or IRT parameter shifts &gt; 0.25. Scoring: derive latent trait scores via IRT; compare against factor-score PCA outputs in ablation. Ablations and comparisons: (1) full model vs without arts module to measure added predictive validity for participation/conflict; (2) full model vs without network measures; (3) compare anchoring-based linking vs alignment optimization for cross-group score comparability. Validation procedures: split-sample cross-validation (calibration and holdout), multi-group invariance across languages and urban/rural, longitudinal invariance across waves, test–retest subsample (n=200 per site) at 3-week interval. Missing data: use FIML for model estimation and multiple imputation for downstream regression analyses. Pre-registered endpoints: primary—change in cohesion latent score at 6 months; secondary—change in institutional trust, participation frequency, and community collective-action incidence.</w:t>
      </w:r>
    </w:p>
    <w:p>
      <w:r>
        <w:t xml:space="preserve"> </w:t>
      </w:r>
    </w:p>
    <w:p>
      <w:pPr>
        <w:pStyle w:val="Heading2"/>
      </w:pPr>
      <w:r>
        <w:t>Risk Factors And Limitations</w:t>
      </w:r>
    </w:p>
    <w:p>
      <w:r>
        <w:t>Measurement bias and DIF may prevent strict comparability across languages and groups. Self-report social desirability and recall error can bias responses. Network elicitation may produce missing ties and measurement error (respondents omit alters or misreport relations). Arts-derived indicators are subjective and depend on coder reliability; coding variability may limit comparability. GBV and sensitive disclosures create ethical risks and could lead to under-reporting. Political instability or field access restrictions can cause attrition and sample loss. Resource constraints (cost of audio-CASI hardware, local counselors, encrypted storage) may limit scale. Multidimensional IRT (MIRT) and multilevel models require substantial compute and statistical expertise; small site Ns reduce statistical power for invariance and subgroup tests. External validity: results from selected countries/sites may not generalize to all African contexts. Cross-border data transfer and legal constraints can limit data sharing.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