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when_do_we_experience_effort</w:t>
      </w:r>
    </w:p>
    <w:p>
      <w:r>
        <w:t xml:space="preserve"> </w:t>
      </w:r>
    </w:p>
    <w:p>
      <w:pPr>
        <w:pStyle w:val="Heading2"/>
      </w:pPr>
      <w:r>
        <w:t>Title</w:t>
      </w:r>
    </w:p>
    <w:p>
      <w:r>
        <w:t>Multimodal neurophysiological and causal testing of momentary effort experience using EEG, fMRI, pupillometry, and brain stimulation</w:t>
      </w:r>
    </w:p>
    <w:p>
      <w:r>
        <w:t xml:space="preserve"> </w:t>
      </w:r>
    </w:p>
    <w:p>
      <w:pPr>
        <w:pStyle w:val="Heading2"/>
      </w:pPr>
      <w:r>
        <w:t>Short Hypothesis</w:t>
      </w:r>
    </w:p>
    <w:p>
      <w:r>
        <w:t>Phasic increases in midfrontal theta power (4–8 Hz) and pupil dilation cause higher trialwise subjective effort reports via transient activation of dACC and anterior insula, and focal disruption of dlPFC/dmPFC reduces this causal pathway.</w:t>
      </w:r>
    </w:p>
    <w:p>
      <w:r>
        <w:t xml:space="preserve"> </w:t>
      </w:r>
    </w:p>
    <w:p>
      <w:pPr>
        <w:pStyle w:val="Heading2"/>
      </w:pPr>
      <w:r>
        <w:t>Related Work</w:t>
      </w:r>
    </w:p>
    <w:p>
      <w:r>
        <w:t>Existing approaches link effort to decision costs or opportunity costs and to neural markers of cognitive control and arousal. EEG studies associate midfrontal theta (a 4–8 Hz brain rhythm linked to conflict and control) with task difficulty but often lack precise spatial localization. fMRI studies localize effort-related BOLD (blood-oxygen-level dependent) signals to dACC and anterior insula but have poor temporal resolution. Pupillometry studies connect pupil dilation to locus coeruleus–noradrenergic (LC-NE) arousal but cannot localize cortical sources. Computational models (reinforcement learning, drift-diffusion models) capture choice patterns but often do not map latent variables to trialwise subjective reports or to simultaneous multimodal physiology. Limitations across prior work include sparse trialwise subjective measurement, limited simultaneous EEG–fMRI–pupil data, weak psychometric validation of effort probes, lack of preregistered multiplicity control, and few causal perturbation tests (TMS/tACS) targeting the proposed network. These gaps leave unresolved whether transient neural and autonomic events causally drive momentary felt effort.</w:t>
      </w:r>
    </w:p>
    <w:p>
      <w:r>
        <w:t xml:space="preserve"> </w:t>
      </w:r>
    </w:p>
    <w:p>
      <w:pPr>
        <w:pStyle w:val="Heading2"/>
      </w:pPr>
      <w:r>
        <w:t>Abstract</w:t>
      </w:r>
    </w:p>
    <w:p>
      <w:r>
        <w:t>We address when people feel effort by testing whether brief neural and autonomic events cause trialwise subjective effort. We combine time-precise EEG (midfrontal theta), spatially precise fMRI (dACC and anterior insula), and pupillometry (phasic dilation) with causal brain stimulation (TMS/HD-tACS) and computational models. The main contribution is a preregistered multimodal pipeline that links single-trial physiological markers to momentary effort reports and to latent parameters of a hierarchical drift-diffusion model. We test causal direction by perturbing dlPFC/dmPFC and by using lagged EEG/pupil regressors in fMRI to establish temporal precedence. Deliverables are: validated momentary effort probes, parameter-recovery simulations, and a set of confirmatory analyses with strict multiplicity control. Expected outcomes are reproducible markers that predict and causally influence felt effort, mechanistic mappings from physiology to modeled decision dynamics, and boundary conditions for generalization across classic and ecologically valid tasks. This work enables direct tests of whether brief control and arousal signals produce momentary experiences of effort.</w:t>
      </w:r>
    </w:p>
    <w:p>
      <w:r>
        <w:t xml:space="preserve"> </w:t>
      </w:r>
    </w:p>
    <w:p>
      <w:pPr>
        <w:pStyle w:val="Heading2"/>
      </w:pPr>
      <w:r>
        <w:t>Experiments</w:t>
      </w:r>
    </w:p>
    <w:p>
      <w:r>
        <w:t>Participants and staging: Pilot N=16 simultaneous EEG–fMRI–pupil to validate pipelines. Main correlational cohort staged recruitment start N=40 then interim check; final target N=60 for EEG–fMRI analyses. Within-subject TMS cohort N=30 (active vs sham, counterbalanced). Tasks: 1) Parametric N-back and conflict task with cue (anticipation), ramped demand (engagement), and feedback (recovery). 2) Ecological foraging/resource-management task matched for demand levels. Subjective reports: continuous slider 0–100 sampled on 30% randomized trials and per-block recovery ratings. Baselines: (A) behavior-only models (no physiology), (B) fMRI-only regressors, (C) EEG-only regressors, (D) published opportunity-cost computational model. Preprocessing baselines: compare MR-EEG pipeline (AAS gradient removal + OBS BCG + ICA) vs simplified pipeline (no OBS). Primary dependent metrics: trialwise Pearson r between subjective effort and midfrontal theta power (theta = 4–8 Hz measured 200–800 ms post-demand onset), mediation effect size of pupil peak (500–1500 ms) between task demand and subjective effort (bootstrap CI), and fMRI ROI effect size (dACC/anterior insula) using permutation + TFCE (pFWE&lt;0.05). Additional metrics: classifier AUC for decoding high vs low effort from multimodal features (10-fold CV), variance explained (ΔR2) by adding EEG and pupil regressors to behavioral model, and parameter recovery accuracy for hierarchical DDM (mean absolute error). Model selection: LOO-CV and WAIC with 10-fold CV for predictive checks. Ablations: remove pupil regressor, remove EEG regressor, and replace same-trial EEG/pupil with lagged (cross-trial or +1–4 s) regressors to test temporal precedence and reduce circularity. Preregistration items: primary ROIs and time–freq windows, hierarchical priors, multiplicity family definitions, interim analysis rule (after N=40 use Lan-DeMets alpha-spending with O'Brien-Fleming boundary to permit sample-size update without inflating Type I error), explicit identifiability simulation inputs (noise SD, between-subject SD, autocorrelation ranges) and QC/exclusion cascade. QC thresholds and exclusion: EEG bad channels ≤5% interpolation allowed, reject subject if &gt;10% channels bad; BCG residual variance &lt;0.10 after correction; fMRI mean framewise displacement &lt;0.2 mm and censored volumes ≤20%; pupil usable trials ≥70%. Randomization and blinding for TMS: within-subject counterbalanced order, sham coil orientation + low-current scalp pad, post-session blinding fidelity questionnaire. Statistical inference: preregister primary endpoints grouped (behavioral correlation, EEG–subjective correlation, pupil mediation, fMRI ROI effect, TMS causal effect) with familywise correction per family via permutation + TFCE for imaging and Bonferroni or hierarchical testing for behavioral/physiological endpoints.</w:t>
      </w:r>
    </w:p>
    <w:p>
      <w:r>
        <w:t xml:space="preserve"> </w:t>
      </w:r>
    </w:p>
    <w:p>
      <w:pPr>
        <w:pStyle w:val="Heading2"/>
      </w:pPr>
      <w:r>
        <w:t>Risk Factors And Limitations</w:t>
      </w:r>
    </w:p>
    <w:p>
      <w:r>
        <w:t>Technical EEG–fMRI risk: gradient and ballistocardiogram artifacts may not be fully removable, reducing EEG SNR in the scanner (risk of failed single-trial theta estimates). TMS targeting limits: deep nodes (insula, dACC) cannot be directly stimulated; causal inference depends on cortical proxies (dlPFC/dmPFC) which may produce weak or indirect effects. Collinearity/circularity: EEG and pupil signals covary and can be collinear when predicting same-trial BOLD, complicating variance partitioning and causal claims. Psychometrics: subjective slider ratings may drift or have low ICC without careful calibration. Missing data: excessive motion, bad EEG channels, or poor pupil tracking can reduce sample and bias results. Statistical multiplicity: many tests increase false-positive risk if families are mis-specified. Generalization: findings from lab tasks may not fully generalize to real-world effort experiences. Compute and timeline: hierarchical Bayesian DDMs and joint EEG–fMRI fusion are computationally intensive and require substantial compute and time. Ethical and safety: TMS/tACS contraindications (medication, implants) will limit eligible participants and complicate recruitment. Sample-size sensitivity: effects smaller than assumed priors will reduce power even after staged recruitment.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