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history_as_therapy_trial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Randomized trial of an archival-engaged history-as-therapy intervention to increase experienced meaning in adults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Randomizing adults to an 8–12 session history-as-therapy intervention that pairs curated archival materials with clinician–historian co-facilitation will produce a larger increase in Meaning in Life Questionnaire—Presence subscale (MLQ-P) scores from baseline to immediate post-intervention than randomization to an attention-matched life-story writing control.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approaches include life-review and life-story writing interventions, narrative therapy and bibliotherapy, and arts- and humanities-informed programs that aim to improve meaning and identity. Research on narrative identity links narrative coherence and re-authoring to well-being. Existing digital-archive and oral-history projects enable personal engagement with historical material but rarely integrate clinical facilitation. Limitations across these areas are: few randomized controlled trials, limited integration of curated primary archival sources, weak operationalization of narrative-coherence measures, inconsistent rater training and low interrater reporting, sparse mediation tests linking narrative change to meaning, limited attention to provenance/consent for archival use, and inadequate cultural/governance processes. Many studies rely on single-modality delivery (writing only) and lack comparator arms that match facilitator contact, which leaves open expectancy and dose confounds.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evaluates whether a structured history-as-therapy intervention that pairs curated archival materials (oral histories, letters, photos, documents) with clinician–historian co-facilitation increases experienced meaning relative to an attention-matched life-story writing control. The intervention is manualized across 8–12 sessions and foregrounds provenance-aware curation, trauma-informed prompts, and meaning-making exercises (e.g., life-lining, re-authoring). The main contribution is a pre-registered mixed-methods evaluation that combines a randomized pilot (n=60–80) and a powered definitive trial (target N≈128–140) using a pre-specified analysis plan. Primary outcome is change in MLQ-P (Meaning in Life Questionnaire—Presence). Secondary outcomes include coded narrative coherence, depressive and anxiety symptoms (PHQ-9, GAD-7), and social connectedness. The study will produce validated operational tools (coding manual, fidelity checklist, provenance ledger) and test whether narrative-coherence change mediates gains in experienced meaning. Expected impact: empirical evidence on archival engagement as a mechanistic, ethically governed pathway to enhanced meaning.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two-arm randomized trial (history-as-therapy vs attention-matched life-story writing). Pilot: N=60–80 (30–40 per arm). Definitive: target N=128–140. Randomization: individual, stratified block by site/delivery modality and baseline MLQ-P tertile, variable block sizes, allocation concealment via REDCap. Datasets/sources: curated primary materials drawn from local community archives, oral-history recordings, autobiographical interviews, letters, family photographs, and public records; inclusion requires verified provenance and consent. Inclusion/exclusion: adults 18+, able to consent, baseline MLQ-P measured; exclude active imminent suicide risk, unresolved legal restrictions on materials, or clinician-determined unmanaged trauma risk. Assessment schedule: baseline, mid-intervention (after session 4), immediate post (within 2 weeks), 3-month, 6-month. Baselines for ablation: (A) life-story writing control (attention-matched); (B) historian-absent arm (same materials but clinician-only facilitation) as ablation; (C) digital-asynchronous journaling arm (optional). Measures: Primary: MLQ-P (continuous). Secondary: Narrative coherence score (structured coding: context, chronology, theme; coded numerically), PHQ-9, GAD-7, Social Connectedness Scale—Revised (SCS-R), attendance, fidelity adherence. Narrative coding: coders use a manual with sample items; double-code 20–30% for interrater reliability (target ICC/κ ≥ .70). Baselines for quantitative comparison: compute mean change scores and trajectories. Analysis: linear mixed-effects model (LME) with random intercepts for participant and facilitator/site; fixed effects: baseline MLQ-P, arm, time (categorical), arm×time interaction; prespecified covariates: age, sex/gender, race/ethnicity, education, baseline PHQ-9, delivery modality, facilitator experience. Report variance components, random slopes if supported. Primary contrast: adjusted mean difference in MLQ-P change baseline→post. Missing data: multiple imputation (mice) under MAR; preplanned sensitivity analyses with pattern-mixture models and tipping-point tests. Mediation: multilevel longitudinal mediation (multilevel structural equation modeling) testing whether change in narrative coherence mediates MLQ-P change; report standard errors via bootstrapping. Power: Monte Carlo simulations (varying ICC 0.01–0.05, within-person AR(1) 0.3–0.6, attrition 10–30%) to justify sample. Comparison/ablation studies: (1) history-as-therapy vs life-story control (primary); (2) history-as-therapy vs clinician-only facilitation (tests historian contribution); (3) within-arm analysis by artifact type (oral history vs photo vs document) to test modality effects. Safety monitoring: flag any non-zero PHQ-9 item 9 for clinician risk assessment and log adverse events for DSMB review. Pre-registration: upload SAP and analysis code before unblinding.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low interrater reliability on narrative coding (ICC &lt; .70) reducing power for mediation tests; weak sensitivity of MLQ-P to detect short-term change; transcription errors for oral histories introducing noise. Data and evaluation biases: selection bias from community recruitment (non-representative samples), cultural mismatch between curated archives and participant identities, expectancy effects if blinding fails, and contamination if facilitators deliver both arms. Scalability and resource limits: intensive archival curation, need for trained historians and clinician co-facilitators, and high per-participant time cost limit rapid scale-up. Compute and logistics: transcription and secure archival storage increase cost; automated tools (speech-to-text) may have language bias. Legal and ethical constraints: contested provenance, restricted-use archives, or Indigenous cultural protocols may limit available materials. Generalization limits: effects may not generalize across cultures with collectivist memory norms or to populations with severe trauma histories; trial results may be specific to community contexts used in the study. Measurement limits: narrative coherence coding reduces complex stories to scores and may miss culturally specific meaning processes. Safety risks: elicitation of traumatic memories can worsen symptoms in some participants.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