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pygmalion_ai_narrative_policy</w:t>
      </w:r>
    </w:p>
    <w:p>
      <w:r>
        <w:t xml:space="preserve"> </w:t>
      </w:r>
    </w:p>
    <w:p>
      <w:pPr>
        <w:pStyle w:val="Heading2"/>
      </w:pPr>
      <w:r>
        <w:t>Title</w:t>
      </w:r>
    </w:p>
    <w:p>
      <w:r>
        <w:t>Causal time-series and NLP analysis of how cultural narratives and policy signals shape AI research funding and development choices</w:t>
      </w:r>
    </w:p>
    <w:p>
      <w:r>
        <w:t xml:space="preserve"> </w:t>
      </w:r>
    </w:p>
    <w:p>
      <w:pPr>
        <w:pStyle w:val="Heading2"/>
      </w:pPr>
      <w:r>
        <w:t>Short Hypothesis</w:t>
      </w:r>
    </w:p>
    <w:p>
      <w:r>
        <w:t>A sustained increase in public or policy narratives asserting strong AI capability expectations causes a measurable rise in funding allocations and research-topic prevalence aligned with those expectations within 90 days, relative to comparable jurisdictions without such narrative shifts.</w:t>
      </w:r>
    </w:p>
    <w:p>
      <w:r>
        <w:t xml:space="preserve"> </w:t>
      </w:r>
    </w:p>
    <w:p>
      <w:pPr>
        <w:pStyle w:val="Heading2"/>
      </w:pPr>
      <w:r>
        <w:t>Related Work</w:t>
      </w:r>
    </w:p>
    <w:p>
      <w:r>
        <w:t>Prior work spans three relevant strands: (1) studies of media framing and public narratives showing that language and frames can shape public opinion and institutional behavior; (2) computational-social-science methods that apply topic models, framing classifiers, and time-series causal tools to measure discourse dynamics; and (3) policy and science-of-science analyses linking funding rules and incentives to research agendas. Limitations remain: existing approaches often treat narratives, policy texts, and technical artifacts separately rather than tracing causal chains across them; multilingual and low-resource text measurement is underdeveloped and prone to embedding drift; many causal claims rely on naive two-way fixed-effects designs that are biased under staggered treatments; and reproducible, artifact-level traceability (linking a narrative to a specific grant, commit, or model choice) is rarely implemented.</w:t>
      </w:r>
    </w:p>
    <w:p>
      <w:r>
        <w:t xml:space="preserve"> </w:t>
      </w:r>
    </w:p>
    <w:p>
      <w:pPr>
        <w:pStyle w:val="Heading2"/>
      </w:pPr>
      <w:r>
        <w:t>Abstract</w:t>
      </w:r>
    </w:p>
    <w:p>
      <w:r>
        <w:t>This study tests whether cultural narratives and policy signals causally influence AI research funding and development choices. We propose an empirical pipeline combining natural language processing to measure narrative frames, reproducible policy coding to quantify regulatory incentives, and time-series causal estimators to identify effects on research outcomes such as funded topics, model architectures, and benchmark selection. The main contribution is a preregistered, traceable analysis that links shifts in discourse to concrete development artifacts using multilingual NLP, event-study and synthetic-control estimators, and mediation analysis to test pathways through funding. Expected outcomes include quantified treatment effects (e.g., average treatment on the treated), validated classifiers and codebooks for policy strictness, and open reproducible artifacts enabling replication. Results will clarify whether and how expectation-laden narratives produce self-fulfilling (Pygmalion) or self-defeating (Golem) dynamics in AI development.</w:t>
      </w:r>
    </w:p>
    <w:p>
      <w:r>
        <w:t xml:space="preserve"> </w:t>
      </w:r>
    </w:p>
    <w:p>
      <w:pPr>
        <w:pStyle w:val="Heading2"/>
      </w:pPr>
      <w:r>
        <w:t>Experiments</w:t>
      </w:r>
    </w:p>
    <w:p>
      <w:r>
        <w:t>Datasets: news and media (GDELT, NewsAPI, LexisNexis extracts), social media (Twitter/X Academic API, Reddit r/MachineLearning), scholarly outputs (arXiv, OpenAlex/Semantic Scholar), funding records (CORDIS, NSF/NIH/Grants.gov, ERC), technical artifacts (PapersWithCode metadata, Hugging Face model metadata, GitHub repos and commits), job postings (LinkedIn/Indeed API), and policy texts (official gov/EU/China/India documents). Units: weekly jurisdiction-level panels (jurisdiction = country or region). Baselines: (A) no-narrative model (outcomes regressed only on controls); (B) naive two-way fixed effects DID; (C) LDA topic modeling + OLS; (D) BERTopic/embedding clustering + naive DID. NLP models &amp; metrics: framing classifier F1 (target ≥0.7), uncertainty score (lexicon + calibrated transformer), topic prevalence time series (proportion of documents per topic per week), Krippendorff's alpha for policy coding (report bootstrap CI). Causal estimators: Callaway &amp; Sant'Anna staggered-DiD (handles varying treatment timing) and synthetic control (for single-jurisdiction counterfactual); event-study plots for dynamics; mediation analysis to estimate indirect effect via funding (mediation estimand ATT_indirect). Identification tests: pre-trend (leads), placebo outcomes, Rosenbaum/Oster sensitivity checks, IV first-stage F&gt;10 when IV used. Experimental setup: pre-register treatment events (e.g., EU AI Act milestone dates), pre-specify lead/lag windows (7, 30, 90 days), control set (VC flows, product launches, conferences), and covariates. Comparisons/ablations: (1) STM (structural topic model with time covariate) vs BERTopic (embedding-based) to test topic extraction robustness; (2) models with and without policy-coded variables to test mediation; (3) lag-sensitivity ablation across 7/30/90 day windows. Evaluation of causal results: report ATT estimates with 95% CI, permutation p-values (synthetic control), and robustness table across estimators. Reproducibility: containerized pipeline, fixed seeds, and machine-readable codebook for human-coded policy variables.</w:t>
      </w:r>
    </w:p>
    <w:p>
      <w:r>
        <w:t xml:space="preserve"> </w:t>
      </w:r>
    </w:p>
    <w:p>
      <w:pPr>
        <w:pStyle w:val="Heading2"/>
      </w:pPr>
      <w:r>
        <w:t>Risk Factors And Limitations</w:t>
      </w:r>
    </w:p>
    <w:p>
      <w:r>
        <w:t>Confounding and endogeneity: narratives and policy may respond to the same unobserved shocks that drive research, biasing causal estimates. Measurement error: multilingual NLP, embedding drift, and low-resource languages can misclassify frames and reduce validity. Coder reliability: human policy coding may fail to reach high agreement, limiting interpretability. Data gaps and access: proprietary funding or corporate artifact data may be unavailable. Privacy and PII: text sources may contain personal data limiting release. Scalability and compute: processing large multilingual corpora and fine-tuning models requires substantial compute. Generalization: results from one jurisdiction or milestone (e.g., EU AI Act) may not generalize globally. ABM limits: agent-based model calibration may not capture real-world complexity and may produce misleading counterfactuals if priors are misspecified.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