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peircean_triadic_grounding</w:t>
      </w:r>
    </w:p>
    <w:p>
      <w:r>
        <w:t xml:space="preserve"> </w:t>
      </w:r>
    </w:p>
    <w:p>
      <w:pPr>
        <w:pStyle w:val="Heading2"/>
      </w:pPr>
      <w:r>
        <w:t>Title</w:t>
      </w:r>
    </w:p>
    <w:p>
      <w:r>
        <w:t>Operationalizing Peircean triadic semiosis as a training constraint to reduce hall-of-mirrors self-reinforcement in large language models</w:t>
      </w:r>
    </w:p>
    <w:p>
      <w:r>
        <w:t xml:space="preserve"> </w:t>
      </w:r>
    </w:p>
    <w:p>
      <w:pPr>
        <w:pStyle w:val="Heading2"/>
      </w:pPr>
      <w:r>
        <w:t>Short Hypothesis</w:t>
      </w:r>
    </w:p>
    <w:p>
      <w:r>
        <w:t>Adding an explicit triadic loss that enforces high P(i | s,o) (interpretant given sign and object), maximizes I(i; o) and penalizes I(i; s) when s is self-generated, will reduce iterative self-training drift (mirror-drift index) relative to standard LM training.</w:t>
      </w:r>
    </w:p>
    <w:p>
      <w:r>
        <w:t xml:space="preserve"> </w:t>
      </w:r>
    </w:p>
    <w:p>
      <w:pPr>
        <w:pStyle w:val="Heading2"/>
      </w:pPr>
      <w:r>
        <w:t>Related Work</w:t>
      </w:r>
    </w:p>
    <w:p>
      <w:r>
        <w:t>Existing language-model grounding work augments text models with perceptual inputs, retrieval, memory, or symbolic modules and often optimizes pairwise objectives (sign→object or sign→next-token). Contrastive mutual-information estimators (InfoNCE, CLUB, MINE) and reconstruction/cyclic-consistency losses are used to align modalities or preserve content. Prior safety and alignment work documents self-training and value drift when models consume their own outputs, producing self-reinforcing errors (the "hall-of-mirrors"). Limitations: most methods optimize only dyadic relations (sign↔object or sign↔interpretation) rather than an explicit triadic constraint linking sign, object, and interpretant; mutual-information estimators have bias/variance tradeoffs not systematically calibrated for this triadic use; identifiability of grounded meaning is often untested (no synthetic causal templates); human interpretant labels are rare and annotation protocols and ICC standards are not standardized. These gaps leave open whether explicit triadic constraints can be identified, estimated, and scaled to reduce self-referential amplification.</w:t>
      </w:r>
    </w:p>
    <w:p>
      <w:r>
        <w:t xml:space="preserve"> </w:t>
      </w:r>
    </w:p>
    <w:p>
      <w:pPr>
        <w:pStyle w:val="Heading2"/>
      </w:pPr>
      <w:r>
        <w:t>Abstract</w:t>
      </w:r>
    </w:p>
    <w:p>
      <w:r>
        <w:t>We address the "hall-of-mirrors" problem in large language models: self-reinforcing output loops that amplify surface text patterns without stable grounding in external referents. We propose to make Peirce's triadic semiosis computable by mapping Representamen (sign s), Object (o), and Interpretant (i) to explicit model components and imposing a triadic loss that (1) encourages i to mediate s→o, (2) enforces cyclic consistency s→i→o→s', and (3) bounds interpretant entropy to prevent degenerate certainty. The main contribution is a reproducible training and evaluation suite: (a) a triadic module and critic; (b) calibrated mutual-information estimation procedures for I(i;o) and I(i;s) including InfoNCE sweeps and alternative estimators; (c) synthetic causal simulations to test identifiability; and (d) multimodal datasets with human-annotated interpretants and preregistered metrics (Triadic Coherence, Mirror-Drift Index, Groundedness). We expect triadic-constrained models to show lower mirror-drift and higher groundedness than baselines, demonstrating that explicit semiotic grounding reduces harmful self-amplification and clarifies when grounded meaning is identifiable.</w:t>
      </w:r>
    </w:p>
    <w:p>
      <w:r>
        <w:t xml:space="preserve"> </w:t>
      </w:r>
    </w:p>
    <w:p>
      <w:pPr>
        <w:pStyle w:val="Heading2"/>
      </w:pPr>
      <w:r>
        <w:t>Experiments</w:t>
      </w:r>
    </w:p>
    <w:p>
      <w:r>
        <w:t>Datasets: 1) Multimodal grounded sets: COCO captions (images+captions), VQA, CLEVR (visual reasoning), Habitat simulation episodes (embodied state logs + narration), and Wikidata-linked text snippets; 2) Synthetic causal generator producing (s,o,i) tuples under controlled graphs (s→i→o, s←i→o, confounder templates) with tunable noise. Annotation: collect human interpretant labels for a stratified subset; 5 annotators/item; use ICC(2,k) intraclass correlation; require ICC &gt;= 0.7 for certified items. Baselines: A) standard LM fine-tuned on text; B) LM with object encoder but no triadic critic; C) LM with cyclic reconstruction only; D) oracle grounded model (object access + gold i). Model and training: small-to-medium transformer (e.g., 100M–1B parameters) for pilots; triadic module with sign encoder f_s, object encoder f_o, interpretant generator f_i, and triadic critic scoring R(s,o,i). Losses: L_tri = E[(s,o)] [λ1 d_I(i*, f_I(s,o)) + λ2 d_O(f_O(i*), o) + λ3 d_S(f_S(o,i*), s)]; cyclic consistency s→i→o→s' reconstruction term; entropy constraint H(i|s) target in [0.5,1.5] nats. Estimators and calibration: InfoNCE primary for I(i;o) and I(i;s) with Nneg sweep {128,512,2048,8192}, temperature τ ∈ {0.05,0.1,0.2}, embedding dims d ∈ {64,128,256}; bracket InfoNCE with CLUB and NWJ (upper bounds) and KSG (k=5) as low-dim sanity check; extrapolate bias vs 1/Nneg and report bootstrap CIs. Experimental protocol: 1) InfoNCE calibration sweep on synthetic and small real subsets to fit bias curves; 2) synthetic identifiability runs mapping metric signatures to ground-truth causal graphs; 3) main training: train triadic model and baselines on multimodal datasets with human-i supervision on 10% of items; iterative self-training: run T=10 self-conditioning cycles where models consume generated s' and retrain, measure drift. Evaluation metrics: Triadic Coherence TC = normalize[ w1·cosine(f_I(s,o), i_gold) + w2·cosine(f_O(i_pred), o) + w3·(1 - CE(s, s_recon)/CE_max ) ] reported in [0,1]; Mirror-Drift Index MDI = 1 - (1/T)Σ_t cosine(i_t, i_0); Groundedness G = (Î(i; o) - Î(i; s_self)) / Ĥ(i). Report estimators with bootstrap 95% CIs. Ablations: remove triadic critic, remove cyclic loss, replace discrete interpretant (Gumbel-softmax) with continuous latent, vary λ1,λ2,λ3. Statistical analysis: preregister primary endpoint = difference in MDI between triadic model and best baseline; mixed-effects model outcome ~ condition + (1|item) + (1|annotator); power analysis derived from pilot estimator variance to produce sample-size tables by model size; report false-discovery rate controlled secondary endpoints.</w:t>
      </w:r>
    </w:p>
    <w:p>
      <w:r>
        <w:t xml:space="preserve"> </w:t>
      </w:r>
    </w:p>
    <w:p>
      <w:pPr>
        <w:pStyle w:val="Heading2"/>
      </w:pPr>
      <w:r>
        <w:t>Risk Factors And Limitations</w:t>
      </w:r>
    </w:p>
    <w:p>
      <w:r>
        <w:t>Estimator bias and variance: InfoNCE underestimates mutual information for small negative sets; extrapolation may be inexact and different estimators can disagree. Training stability: InfoNCE-style penalties or importance reweighting can increase gradient variance and cause optimization instability. Identifiability limits: real-world confounders and limited labeled interpretants can make true causal mediation unidentifiable; synthetic simulations do not guarantee identifiability on complex data. Annotation costs and reliability: collecting 5 annotators/item with calibration increases cost and time; reaching ICC &gt;= 0.7 may be hard for subtle interpretants. Compute and scaling: Nneg sweeps, large negative pools, and triadic critics increase GPU-hours substantially, limiting experiments to small/medium models in pilots. Generalization: triadic grounding learned on chosen datasets may not transfer to other domains or languages. Adversarial distribution shift: adversarial or out-of-distribution signs s can still induce misinterpretation even with triadic loss. Social harms: misgrounded interpretants can propagate stereotypes or produce unsafe actions if used in decision-making; human oversight is required but not sufficient to eliminate all harms. Measurement limits: choices of estimator hyperparameters (k for KSG, bandwidths) and normalization affect metric comparability across runs.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