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llm_mh_diagnostic_survey</w:t>
      </w:r>
    </w:p>
    <w:p>
      <w:r>
        <w:t xml:space="preserve"> </w:t>
      </w:r>
    </w:p>
    <w:p>
      <w:pPr>
        <w:pStyle w:val="Heading2"/>
      </w:pPr>
      <w:r>
        <w:t>Title</w:t>
      </w:r>
    </w:p>
    <w:p>
      <w:r>
        <w:t>Systematic evaluation of large language models for DSM/ICD-aligned mental health diagnosis and treatment decision support</w:t>
      </w:r>
    </w:p>
    <w:p>
      <w:r>
        <w:t xml:space="preserve"> </w:t>
      </w:r>
    </w:p>
    <w:p>
      <w:pPr>
        <w:pStyle w:val="Heading2"/>
      </w:pPr>
      <w:r>
        <w:t>Short Hypothesis</w:t>
      </w:r>
    </w:p>
    <w:p>
      <w:r>
        <w:t>Fine-tuned large language models that emit structured, source-linked DSM/ICD-aligned symptom labels and calibrated probability estimates will achieve sensitivity &gt;= 0.85 and specificity &gt;= 0.85 for detecting major depressive disorder versus SCID-based clinician diagnosis in a multi-site external validation cohort.</w:t>
      </w:r>
    </w:p>
    <w:p>
      <w:r>
        <w:t xml:space="preserve"> </w:t>
      </w:r>
    </w:p>
    <w:p>
      <w:pPr>
        <w:pStyle w:val="Heading2"/>
      </w:pPr>
      <w:r>
        <w:t>Related Work</w:t>
      </w:r>
    </w:p>
    <w:p>
      <w:r>
        <w:t>Existing work applies large language models (LLMs) to mental health tasks using approaches such as zero-shot prompting, few-shot prompting, fine-tuning on clinical text, and retrieval-augmented generation (RAG). Some systems perform symptom detection from text and conversational screening, while others generate therapeutic content or triage suggestions. Limitations across these lines include: lack of standardized, structured outputs tied to diagnostic criteria (DSM/ICD), weak or absent calibration of model confidence (calibration = match between predicted probabilities and observed outcomes), frequent hallucinations (fabricated facts), limited provenance (no source links), sparse multi-site clinical validation against structured interviews, poor subgroup reporting (age, language, culture), and few prospective or randomized trials measuring downstream patient outcomes. Prior safety and privacy work identifies risks from memorization and bias but does not provide reproducible clinical benchmarks or unified evaluation pipelines for diagnostic use.</w:t>
      </w:r>
    </w:p>
    <w:p>
      <w:r>
        <w:t xml:space="preserve"> </w:t>
      </w:r>
    </w:p>
    <w:p>
      <w:pPr>
        <w:pStyle w:val="Heading2"/>
      </w:pPr>
      <w:r>
        <w:t>Abstract</w:t>
      </w:r>
    </w:p>
    <w:p>
      <w:r>
        <w:t>We address the need for reproducible, clinically meaningful evaluation of large language models (LLMs) for mental health diagnosis and treatment support. We propose a program that requires LLMs to output structured, DSM/ICD-aligned symptom labels (presence, onset, duration, severity), source-linked text spans, and calibrated probability estimates (calibration means predicted probabilities reflect real outcome rates). The main contribution is a unified evaluation pipeline: multi-site datasets anchored to structured clinical interviews (SCID/MINI), predefined metrics (sensitivity, specificity, calibration, decision-curve analysis), stress tests for high-risk scenarios (suicidality, psychosis), and prospective designs including clinician-augmentation randomized trials. Expected outcomes are clear, auditable performance benchmarks for LLM diagnostic assistants, quantified safety failure modes (hallucination rates, false-negative rates for high-risk flags), and an evidence base to guide deployment decisions. The work will make it possible to compare models by clinical utility and risk, not only by language benchmarks, and to identify gaps in fairness, privacy, and generalizability.</w:t>
      </w:r>
    </w:p>
    <w:p>
      <w:r>
        <w:t xml:space="preserve"> </w:t>
      </w:r>
    </w:p>
    <w:p>
      <w:pPr>
        <w:pStyle w:val="Heading2"/>
      </w:pPr>
      <w:r>
        <w:t>Experiments</w:t>
      </w:r>
    </w:p>
    <w:p>
      <w:r>
        <w:t>Datasets: 1) Multi-site clinical interview corpus with SCID/MINI labels (prospective collection; target N&gt;=1,000 per external validation cohort, &gt;=200 positive cases per target disorder where feasible). 2) EHR-linked cohorts (All of Us, NIMH DA, UK Biobank subsets) for temporal and site validation. 3) Pediatric/adolescent clinical interview sets (PHQ-A, CRAFFT). 4) Multilingual clinical interview sets (target languages with back-translation). 5) Vignette bank including adversarial/high-risk scenarios and humanities-rich narratives (poems, diaries) and synthetic augmentations. Baselines: A) SCID-based clinician diagnosis (gold standard). B) Off-the-shelf general LLM zero-shot outputs. C) Prompt-engineered LLMs. D) Fine-tuned LLMs on clinical interviews. E) Retrieval-augmented LLMs (RAG). F) Rule-based DSM mappings. Metrics: sensitivity, specificity, PPV, NPV, Cohen's kappa, Matthews correlation coefficient (MCC), Brier score, expected calibration error (ECE), calibration slope/intercept, decision-curve analysis, hallucination rate per 1,000 outputs (count of unsupported factual assertions divided by outputs*1000), abstention rate, false-negative rate for suicidality, time-to-treatment initiation, PHQ-9 change (for RCT), and subgroup-stratified metrics. Experimental setup: Split data into train/val/test with site-temporal external held-out test sets. External validation requires independent site(s). Calibration methods: temperature scaling, isotonic regression, split conformal prediction (conformal = produces valid prediction sets). Ablations: remove provenance links, remove calibration layer, remove retrieval, vary data volume (low vs full), apply differential privacy noise (DP-SGD) with tested epsilons {0.1,1,10} and report utility. Prospective designs: diagnostic concordance cohort (LLM vs SCID, primary endpoints sensitivity/specificity) and clinician-augmentation RCT (randomize clinicians to LLM-assist vs usual care; primary endpoint PHQ-9 change at 8 weeks; target n≈300 per arm). Power/sample-size: validation cohorts sized to achieve 95% CI ±0.05 for sensitivity ~0.85 (≈200 positives); RCT powered for 2-point PHQ-9 difference (SD≈6) with ~300 per arm for 80% power. Subgroup strategies: if &gt;=200 positives not feasible, use Bayesian hierarchical pooling or cross-site meta-analysis pre-specified. Reproducibility: preregister protocol, publish model cards, share synthetic benchmarks and evaluation scripts.</w:t>
      </w:r>
    </w:p>
    <w:p>
      <w:r>
        <w:t xml:space="preserve"> </w:t>
      </w:r>
    </w:p>
    <w:p>
      <w:pPr>
        <w:pStyle w:val="Heading2"/>
      </w:pPr>
      <w:r>
        <w:t>Risk Factors And Limitations</w:t>
      </w:r>
    </w:p>
    <w:p>
      <w:r>
        <w:t>Technical failure modes: hallucination of clinical facts, miscalibrated probabilities, overconfident wrong outputs, failure to abstain on high-risk cases. Data/evaluation biases: limited representation of age, culture, language, or rare disorders; label noise in clinical interviews; spectrum bias from enriched case-control samples. Privacy and memorization: risk of exposing patient-identifiable text or memorized sensitive content from humanities sources. Scalability and compute: fine-tuning and retrieval at clinical scale may require high GPU/TPU resources and low-latency infrastructure. Generalization limits: models may not transfer across health systems, languages, or changing clinical practices; temporal drift can degrade performance. Regulatory and ethical limits: diagnostic claims may trigger medical device oversight and jurisdictional legal constraints. Measurement constraints: adversarial and real-world stress tests may not cover every rare high-risk scenario, and subgroup sample-size shortfalls may limit confidence for some populations.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