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german_minority_archive_affect_impact</w:t>
      </w:r>
    </w:p>
    <w:p>
      <w:r>
        <w:t xml:space="preserve"> </w:t>
      </w:r>
    </w:p>
    <w:p>
      <w:pPr>
        <w:pStyle w:val="Heading2"/>
      </w:pPr>
      <w:r>
        <w:t>Title</w:t>
      </w:r>
    </w:p>
    <w:p>
      <w:r>
        <w:t>Mixed-method evaluation of affective, social, and personal impacts of a German minority community archive using participatory archiving and psychometric assessment</w:t>
      </w:r>
    </w:p>
    <w:p>
      <w:r>
        <w:t xml:space="preserve"> </w:t>
      </w:r>
    </w:p>
    <w:p>
      <w:pPr>
        <w:pStyle w:val="Heading2"/>
      </w:pPr>
      <w:r>
        <w:t>Short Hypothesis</w:t>
      </w:r>
    </w:p>
    <w:p>
      <w:r>
        <w:t>Participatory archiving that includes participant-generated affective metadata causes a measurable increase in contributors' sense of belonging and intergenerational trust compared with archival workflows that do not collect participant-generated affective metadata.</w:t>
      </w:r>
    </w:p>
    <w:p>
      <w:r>
        <w:t xml:space="preserve"> </w:t>
      </w:r>
    </w:p>
    <w:p>
      <w:pPr>
        <w:pStyle w:val="Heading2"/>
      </w:pPr>
      <w:r>
        <w:t>Related Work</w:t>
      </w:r>
    </w:p>
    <w:p>
      <w:r>
        <w:t>Community-centered archives research emphasizes metadata standards (e.g., Dublin Core), governance models, sustainability, and participatory practices. Work on participatory archiving shows higher engagement but often lacks standardized ways to record emotions or memory (affective metadata refers to tags or narrative fields that record feelings or memories about an item). Digital preservation literature covers file formats and fixity but rarely ties technical preservation to social impact. Recent efforts in metadata innovation include adding provenance and contextual notes, but they often reduce nuance by forcing emotions into rigid controlled vocabularies. Automated sentiment analysis has been proposed for large corpora but raises consent and accuracy problems, especially for dialects. Psychometric studies of archive-related wellbeing are scarce and generally underpowered, limiting generalization. Governance and GDPR-focused work outlines high-level principles but provides few tested per-field consent implementations. In sum, prior work lacks validated, scalable methods that link participant-led affective metadata, per-field consent enforcement, and measured psychosocial outcomes.</w:t>
      </w:r>
    </w:p>
    <w:p>
      <w:r>
        <w:t xml:space="preserve"> </w:t>
      </w:r>
    </w:p>
    <w:p>
      <w:pPr>
        <w:pStyle w:val="Heading2"/>
      </w:pPr>
      <w:r>
        <w:t>Abstract</w:t>
      </w:r>
    </w:p>
    <w:p>
      <w:r>
        <w:t>This study evaluates whether participatory archiving that captures participant-generated affective metadata affects contributors' sense of belonging, identity continuity, and intergenerational trust in a German minority community archive. We use a mixed-method approach combining ethnographic interviews, co-curation workshops, and a psychometric survey to measure changes in wellbeing-related outcomes. The main contribution is an empirically tested pipeline: (1) a co-designed affective metadata module linked to per-field consent receipts, (2) a validated compact survey measuring belonging, identity continuity, affective response, and intergenerational trust, and (3) analytic models that connect archive engagement to psychosocial outcomes. Expected outcomes include quantitative evidence on effect sizes of participatory archiving, validated measurement instruments for archive impact, and practical specifications for consent-aware metadata workflows. Results will inform archive design decisions that balance access, legal compliance, and emotional stewardship in minority community contexts.</w:t>
      </w:r>
    </w:p>
    <w:p>
      <w:r>
        <w:t xml:space="preserve"> </w:t>
      </w:r>
    </w:p>
    <w:p>
      <w:pPr>
        <w:pStyle w:val="Heading2"/>
      </w:pPr>
      <w:r>
        <w:t>Experiments</w:t>
      </w:r>
    </w:p>
    <w:p>
      <w:r>
        <w:t>Datasets: (A) Aug 2024 interview corpus (existing transcripts, audio) augmented with 40 additional in-depth interviews stratified by age cohort (youth 16-25, adults 26-59, elders 60+); (B) 50 digitized archive items with associated metadata and derivatives; (C) survey data target N=300 respondents recruited from community contributors and users. Baselines: (1) standard archival workflow capturing only descriptive metadata (control); (2) automated sentiment labeling applied to transcripts (baseline for automation). Evaluation metrics: primary outcome = change in Sense of Belonging score (validated scale adapted; higher is better); secondary outcomes = Identity Continuity score, Intergenerational Trust score, participation rate (items contributed per person), consent completion rate, consent withdrawal rate, and qualitative code agreement (Cohen's kappa). Psychometric checks: confirmatory factor analysis (CFA; CFA is a statistical test that checks if survey items measure the intended constructs) with target fit CFI &gt;= 0.95 and RMSEA &lt;= 0.06; reliability target Cronbach's alpha and McDonald's omega &gt;= 0.7 (these are measures of internal consistency). Experimental setup: randomly assign new contributors (N total ≈300) to either participatory workflow (co-curation, affective metadata fields, per-field consent UI) or control workflow (standard metadata, single-item consent). Collect pre- and post-engagement surveys (baseline and 3-month follow-up). Conduct mixed-effects models with random intercepts for individual and household to test group effect on outcome scores; report effect sizes and 95% CI; pre-register primary comparison (participatory vs control) and require minimum detectable effect d &gt;= 0.3. Qualitative analysis: thematic coding of interviews and narrative_memory fields; ablation study: compare full participatory pipeline vs participatory without affective tags vs participatory without per-field consent to isolate contributions of affective metadata and consent granularity. Statistical tests: t-tests for simple comparisons, mixed-effects for clustered data, mediation analysis to test archive engagement -&gt; identity continuity -&gt; belonging pathway. Intercoder reliability target kappa &gt;= 0.7. Data handling: record per-field consent receipts in JSON-LD and log takedown events with timestamps for analysis of withdrawal dynamics.</w:t>
      </w:r>
    </w:p>
    <w:p>
      <w:r>
        <w:t xml:space="preserve"> </w:t>
      </w:r>
    </w:p>
    <w:p>
      <w:pPr>
        <w:pStyle w:val="Heading2"/>
      </w:pPr>
      <w:r>
        <w:t>Risk Factors And Limitations</w:t>
      </w:r>
    </w:p>
    <w:p>
      <w:r>
        <w:t>Technical failure modes: consent propagation failures that leave derivatives publicly accessible; encryption or key-management outages that block access; search index inconsistency after takedown. Data and evaluation biases: nonrepresentative sampling (over-recruitment of highly engaged members), language bias due to dialect complexity, and social-desirability bias in self-report scales. Psychometric limits: insufficient sample (N &lt; 200) will reduce CFA stability and invalidate invariance tests across languages or generations. Scalability and compute: transcription, translation, and storage cost growth if item volume expands; live deletion from backups may not meet strict erasure guarantees in all storage vendors. Legal and governance constraints: GDPR may limit cross-border storage and long-term research reuse; per-field consent can fragment datasets and reduce statistical power. Participant risk: eliciting memories can cause distress and require clinical referrals; thresholds for referral may miss subclinical harms. Generalization: findings from this single German minority archive may not transfer to other minority archives with different histories, languages, or trust environments.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