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impact_vc_tranche_interference_pilot</w:t>
      </w:r>
    </w:p>
    <w:p>
      <w:r>
        <w:t xml:space="preserve"> </w:t>
      </w:r>
    </w:p>
    <w:p>
      <w:pPr>
        <w:pStyle w:val="Heading2"/>
      </w:pPr>
      <w:r>
        <w:t>Title</w:t>
      </w:r>
    </w:p>
    <w:p>
      <w:r>
        <w:t>Cluster-randomized trial with network-interference analysis of catalytic tranches and standardized dashboards on access to capital for arts-sector impact startups</w:t>
      </w:r>
    </w:p>
    <w:p>
      <w:r>
        <w:t xml:space="preserve"> </w:t>
      </w:r>
    </w:p>
    <w:p>
      <w:pPr>
        <w:pStyle w:val="Heading2"/>
      </w:pPr>
      <w:r>
        <w:t>Short Hypothesis</w:t>
      </w:r>
    </w:p>
    <w:p>
      <w:r>
        <w:t>Providing a catalytic funding tranche conditional on verified impact milestones combined with a standardized impact dashboard causally reduces time-to-primary-milestone by 30% compared to standard diligence, accounting for network spillovers.</w:t>
      </w:r>
    </w:p>
    <w:p>
      <w:r>
        <w:t xml:space="preserve"> </w:t>
      </w:r>
    </w:p>
    <w:p>
      <w:pPr>
        <w:pStyle w:val="Heading2"/>
      </w:pPr>
      <w:r>
        <w:t>Related Work</w:t>
      </w:r>
    </w:p>
    <w:p>
      <w:r>
        <w:t>Existing approaches to studying impact investment in new markets include observational analyses using matching or regression, small pilots of catalytic grants or tranche-like payments without pre-registered causal designs, and qualitative work (ethnography, interviews) documenting investor and founder behavior. Quantitative studies often suffer from selection bias because funded startups differ from unfunded ones in unobserved ways; matching methods reduce but do not remove this bias. Prior pilots rarely model or measure network spillovers (effects on nearby or connected actors), so estimated effects may mix direct treatment with indirect effects. Measurement and verification practices have been tested in ad hoc settings but lack standardized dashboards and reproducible verification protocols; this creates heterogeneity in outcome definitions and vulnerability to gaming. Randomized evidence in small, networked cultural markets is scarce, and when present it seldom pre-specifies interference estimands or power simulations for spillover effects.</w:t>
      </w:r>
    </w:p>
    <w:p>
      <w:r>
        <w:t xml:space="preserve"> </w:t>
      </w:r>
    </w:p>
    <w:p>
      <w:pPr>
        <w:pStyle w:val="Heading2"/>
      </w:pPr>
      <w:r>
        <w:t>Abstract</w:t>
      </w:r>
    </w:p>
    <w:p>
      <w:r>
        <w:t>Impact-focused venture capital faces ambiguity about what counts as social or environmental impact and how to verify it, which complicates market entry and founder selection in arts sectors. We propose a pre-registered cluster-randomized trial (CRT — randomize groups such as incubators or galleries) with explicit network-interference modeling to estimate causal effects of a catalytic tranche (conditional funding released after verified milestones) and a standardized impact dashboard (shared measurement tools) on access outcomes. The main contribution is a reproducible set of causal estimates separating direct effects on treated startups from indirect spillover effects on connected actors, plus public power/sensitivity notebooks, exposure definitions, and verification protocols. Expected outcomes include an effect-size estimate for tranche+dashboard on time-to-primary-milestone, measures of diligence speed and follow-on funding probability, and a feasibility assessment of verification and privacy methods. Results will produce practical guidance and pre-registered templates for fund design and measurement in small, networked cultural markets and enable replication.</w:t>
      </w:r>
    </w:p>
    <w:p>
      <w:r>
        <w:t xml:space="preserve"> </w:t>
      </w:r>
    </w:p>
    <w:p>
      <w:pPr>
        <w:pStyle w:val="Heading2"/>
      </w:pPr>
      <w:r>
        <w:t>Experiments</w:t>
      </w:r>
    </w:p>
    <w:p>
      <w:r>
        <w:t>Datasets: (1) Pilot market roster of startups recruited from local incubators/galleries (target 160–240 startups total across arms); (2) donor-pool controls from commercial databases (Crunchbase/PitchBook) matched on baseline covariates; (3) baseline network census capturing ties (referral, co-event, co-investor) via short survey and scraped shared-event records; (4) administrative records: revenue, MAU (monthly active users), ticket sales, and beneficiary phone surveys for outcomes; (5) verification logs and audit results. Baselines: control = standard diligence (no tranche, no standardized dashboard); dashboard-only; tranche-only; tranche+dashboard (full treatment). Metrics and definitions: primary outcome = time-to-primary-milestone (months from first disbursement to pre-specified verified milestone); secondary = diligence time (days), probability of follow-on institutional funding within 24 months (binary), predictive accuracy of dashboard signals (AUC - area under ROC curve, where AUC measures ability to rank deals), cost-per-verified-outcome (USD per beneficiary). Spillover metrics: treated-neighbor count and treated-neighbor proportion within 1-hop (one direct connection). Experimental setup: cluster randomization at incubator/gallery level with 16–24 clusters, 8–12 startups per cluster; randomization stratified by cluster size and average centrality. Pre-specify exposure mappings: individual direct treatment, exposure = proportion of treated neighbors. Estimators and tests: survival analysis with Cox proportional hazards (Cox PH — model for time-to-event), logistic regression for funding, mixed-effects models for continuous outcomes with cluster-robust SEs, randomization inference for sharp nulls, and Hudgens–Halloran style estimators to separate direct and indirect effects (methods for interference in networks). Power and sample plan: publish reproducible power/sensitivity notebooks with seeds, assume σ≈6 months for time-to-milestone, ICC range 0.05–0.15, aim for 40–60 startups per arm to detect ~30% change with 80% power under baseline assumptions. Missing data: multiple imputation (MICE — chained-equations) and inverse-probability weighting as robustness checks. Comparisons/ablations: (A) tranche+dashboard vs control; (B) tranche-only vs control; (C) dashboard-only vs control; (D) tranche+dashboard vs tranche-only and vs dashboard-only to measure complementarity. Fallback quasi-experimental designs: regression discontinuity around application score with McCrary tests and bandwidth pre-specification, and propensity-score matching with pre-registered balance diagnostics if CRT infeasible. Pre-specify primary outcome family (time-to-primary-milestone) and multiplicity control (Benjamini–Hochberg for secondary outcomes).</w:t>
      </w:r>
    </w:p>
    <w:p>
      <w:r>
        <w:t xml:space="preserve"> </w:t>
      </w:r>
    </w:p>
    <w:p>
      <w:pPr>
        <w:pStyle w:val="Heading2"/>
      </w:pPr>
      <w:r>
        <w:t>Risk Factors And Limitations</w:t>
      </w:r>
    </w:p>
    <w:p>
      <w:r>
        <w:t>Limited sample size: small numbers in arts markets reduce statistical power, especially for spillover effects; results may be noisy. Interference and contamination: strong network ties can violate independence and complicate estimation of direct effects; planned exposure mappings may miss unobserved links. Selection and external validity: pilot market results may not generalize to other sectors or larger markets. Measurement bias: founder-reported metrics may be misreported or gamed; verification costs may limit audit coverage. Privacy and data limits: collecting network ties and beneficiary data raises consent and disclosure risks; differential privacy (adding noise) may reduce utility for small aggregates. Model assumptions: Cox PH proportional hazards or other parametric assumptions may be violated. Missing data and attrition: differential dropout can bias estimates and reduce power. Budget and operational constraints: verification, third-party audits, and DP/SMC tools may exceed budget and delay timelines. Regulatory or ethical constraints: local rules or IRB findings may restrict randomization, data collection, or publication of network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