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consumption_populism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Mixed-methods causal analysis of corporate populist messaging effects on consumer purchasing and loyalty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Exposure to corporate populist messaging increases purchase probability and brand loyalty among politically disaffected consumers relative to exposure to neutral corporate messaging.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spans three streams: (1) political-populism theory that defines populist logic as people-vs-elite antagonism and affective mobilization; (2) marketing and consumer-identity studies on authenticity, signaling, and charismatic leadership; and (3) computational methods for detecting political frames and social media diffusion. Comparative weaknesses: empirical marketing studies often measure rhetoric qualitatively and lack scalable, cross-platform measurement; computational detection studies focus on partisan politics rather than corporate actors and rarely combine text and image modalities; causal claims are mostly correlational or limited to small experiments and do not link messaging to firm-level sales with strong quasi-experimental designs; platform amplification and microtargeting effects are under-explored; multilingual and cross-national validation of populist-frame labels is limited. In sum, methods either give depth (case studies, theory) without scale, or scale (NLP) without robust causal identification linking corporate frames to consumption outcomes.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addresses how business leaders' use of populist logic—people-vs-elite rhetoric, moralized homogeneity, and leader personalization—affects real-world consumption choices. We propose a mixed-methods causal program that combines scalable multimodal measurement (text + image), experimental tests, and quasi-experimental analyses of sales data to estimate causal effects. Main contributions are: (1) a transparent, multilingual codebook that operationalizes 'consumption populism' into measurable frames; (2) validated classifiers for corporate populist frames across ads, speeches, and social posts; and (3) pre-registered causal tests linking exposure to purchase probability, retention, and willingness-to-pay. Expected outcomes are reproducible estimates of short- and medium-run effects, evidence about mechanisms (identity signaling, parasocial ties, delegitimation), and clear statements of external validity limits. Technical terms: 'codebook' means a list of labeled features used for annotation; 'classifier' means an automated model that labels new messages. The project yields both measurement tools and causal estimates useful for researchers and policymakers.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weekly SKU-level sales and promo data from retail panels (Nielsen/Kantar or equivalent) with 104 weeks of history; (b) ad and campaign archives (Ad Observatory, company ads); (c) corpora of CEO speeches and annual reports (LexisNexis/Factiva); (d) social media corpora via CrowdTangle/Meta and X APIs; (e) consumer survey panel n≈10,000 with political-disaffection scales. Baselines: neutral corporate messaging (same product info without people-vs-elite framing); authenticity-only framing (local/artisanal claims without anti-elite language); price-promotion baseline. Evaluation metrics: primary — purchase probability (binary purchase in next 4 weeks), relative change in weekly SKU sales (%), 12-week retention rate; secondary — willingness-to-pay premium (continuous), Net Promoter Score (NPS), social sentiment shift (% positive), classifier precision/recall/F1. Experimental setup: (1) Online randomized controlled trial (RCT): 2x2 factorial on a representative subsample of politically disaffected vs not-disaffected consumers; factors: framing (populist vs neutral) × personalization (leader-present vs absent); target power to detect a 3 percentage-point change in purchase probability requires ~4,000 subjects per arm (approximate; compute exact sample per measured baseline variance). (2) Synthetic control for charismatic CEO-led firm: donor pool 15–30 similar firms, pre-treatment fit window 52 weeks, inference via ≥200 placebo permutations; outcome = weekly SKU sales and market share. (3) Difference-in-differences (DiD) for nationalist/local campaign: matched treated/control regions, weekly panel with 26+ pre and 26+ post weeks, covariates: weekly ad spend, price, assortment, competitor activity; use event-study and Sun–Abraham corrections for staggered timing. (4) Platform-enabled campaign: randomized exposure on owned channels where feasible; otherwise IV design using exogenous algorithmic shocks (e.g., API outages) plus DiD; network diffusion analysis via social graph metrics (reach, clustering). Ablations and comparisons: (A) remove leader personalization (compare populist-with-leader vs populist-without-leader); (B) remove scapegoating tokens (compare full populist vs sanitized populist) to test mechanism; (C) multimodal ablation removing visual features to test image contribution. Classifier training: 70/15/15 train/validation/test splits, annotation pilot n=2,000 expanding to 5,000; report precision≥0.75 and recall≥0.70 for core frame labels before scaling. Statistical models: logistic regressions for purchase probability, panel fixed-effects and event-study specifications for sales, mediation analysis (causal mediation framework) to estimate indirect effects via identity or trust measures. Pre-registration: all primary outcomes (max 3 per pilot) and multiple-testing corrections to be pre-specified.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Measurement bias: annotator disagreement, label noise, and cross-language failures may distort frame detection. Confounding and inference limits: unobserved concurrent marketing or supply shocks can bias quasi-experimental estimates; SUTVA violations (spillovers across regions or networks) can invalidate local causal claims. Data access and cost: high-resolution sales and ad-spend data are expensive and delayed. Ethics and legal: experiments with political-like messaging raise IRB and platform policy constraints; legal definitions of political advertising vary by jurisdiction. Scalability and compute: multimodal classification and permutation inference require substantial compute and storage. Generalization: effects may differ across countries, product categories, and time (cultural and temporal heterogeneity). Adversarial change: firms may alter framing when observed, reducing external validity over time. Evaluation biases: self-reported outcomes (willingness-to-pay, NPS) are subject to social desirability and measurement error.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