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authentic_tasks_ai_disclosure</w:t>
      </w:r>
    </w:p>
    <w:p>
      <w:r>
        <w:t xml:space="preserve"> </w:t>
      </w:r>
    </w:p>
    <w:p>
      <w:pPr>
        <w:pStyle w:val="Heading2"/>
      </w:pPr>
      <w:r>
        <w:t>Title</w:t>
      </w:r>
    </w:p>
    <w:p>
      <w:r>
        <w:t>Mixed-methods experimental evaluation of authentic assessment designs to reduce and detect student use and concealment of AI in online higher-education assessments</w:t>
      </w:r>
    </w:p>
    <w:p>
      <w:r>
        <w:t xml:space="preserve"> </w:t>
      </w:r>
    </w:p>
    <w:p>
      <w:pPr>
        <w:pStyle w:val="Heading2"/>
      </w:pPr>
      <w:r>
        <w:t>Short Hypothesis</w:t>
      </w:r>
    </w:p>
    <w:p>
      <w:r>
        <w:t>Requiring staged, process-focused authentic assessment tasks that include multimodal process evidence (drafts, annotated source maps, and short recorded rationales) causes a statistically significant reduction in undisclosed AI-generated content in student submissions relative to single-delivery final-product assessments.</w:t>
      </w:r>
    </w:p>
    <w:p>
      <w:r>
        <w:t xml:space="preserve"> </w:t>
      </w:r>
    </w:p>
    <w:p>
      <w:pPr>
        <w:pStyle w:val="Heading2"/>
      </w:pPr>
      <w:r>
        <w:t>Related Work</w:t>
      </w:r>
    </w:p>
    <w:p>
      <w:r>
        <w:t>Existing approaches to handling AI in student work fall into three broad classes: detection-based systems, policy/penalty approaches, and assessment redesign. Detection-based systems use stylometric features (measures of writing style, e.g., word choice and sentence patterns) and machine-learning classifiers (models that learn patterns) to flag likely AI-written text; these systems are brittle under deliberate obfuscation and can yield false positives for non-native speakers or unusual student styles. Policy-focused work emphasizes honor codes and sanctioning but can drive concealment and harms trust. Assessment redesign advocates authentic, process-centered tasks (staged submissions, multimodal artifacts) to raise the cost of outsourcing, but empirical evidence is limited and often single-discipline or small-sample. Hybrid proposals combine detection signals with process evidence, but prior work rarely reports rigorous validity evidence for rubrics, cluster-aware power calculations for nested course data, or fairness audits across demographic groups. Open gaps include robust mixed-methods validation, adversarial red-teaming against obfuscation, and clear procedures linking detector outputs to non-punitive instructor workflows.</w:t>
      </w:r>
    </w:p>
    <w:p>
      <w:r>
        <w:t xml:space="preserve"> </w:t>
      </w:r>
    </w:p>
    <w:p>
      <w:pPr>
        <w:pStyle w:val="Heading2"/>
      </w:pPr>
      <w:r>
        <w:t>Abstract</w:t>
      </w:r>
    </w:p>
    <w:p>
      <w:r>
        <w:t>We address whether authentic, process-focused assessment designs reduce and reveal student use and concealment of AI in online higher-education tasks. We propose a mixed-methods experimental approach combining staged submissions (thesis plan, annotated draft with source mapping, short recorded rationale, final revision), a seeded corpus of human/AI/obfuscated artifacts, and qualitative interviews and surveys. The main contribution is an empirical evaluation that links: (1) measurable changes in undisclosed AI use under authentic tasks; (2) validity and reliability evidence for rubrics that assess process and justification; and (3) operational detector behavior when combined with process signals and adversarial obfuscation. Expected outcomes include quantifiable effects of task design on AI concealment prevalence, calibrated detector performance bounds under attack, and reproducible protocols for rubric development, power analysis, and non-punitive review workflows. The work produces resources (seed corpus, rubric templates, pre-registered analysis plan) to enable replication and inform equitable assessment policy.</w:t>
      </w:r>
    </w:p>
    <w:p>
      <w:r>
        <w:t xml:space="preserve"> </w:t>
      </w:r>
    </w:p>
    <w:p>
      <w:pPr>
        <w:pStyle w:val="Heading2"/>
      </w:pPr>
      <w:r>
        <w:t>Experiments</w:t>
      </w:r>
    </w:p>
    <w:p>
      <w:r>
        <w:t>Datasets and sampling:</w:t>
        <w:br/>
        <w:t>- Pilot across 12 courses (mix of humanities, STEM, and professional studies) with ~30 students per course, total N ≈ 360 students. Each student provides four staged artifacts: thesis plan, annotated draft with evidence map, 3–4 min recorded rationale (audio/video), and final revised submission.</w:t>
        <w:br/>
        <w:t>- Seed corpus: 800 artifacts balanced across human-authored, AI-generated (multiple model families), and red-team obfuscated samples. Obfuscation methods include paraphrase, back-translation, and human post-editing.</w:t>
        <w:br/>
        <w:t>Baselines:</w:t>
        <w:br/>
        <w:t>- Baseline A: traditional single-final assessment (no staged process evidence).</w:t>
        <w:br/>
        <w:t>- Baseline B: detection-only pipeline using stylometric+transformer detectors on final text.</w:t>
        <w:br/>
        <w:t>- Baseline C: authentic tasks without multimodal rationale (ablation).</w:t>
        <w:br/>
        <w:t>Evaluation metrics:</w:t>
        <w:br/>
        <w:t>- Primary: change in prevalence of undisclosed AI use measured by triangulation (self-report vs detector signals vs process transparency). Prevalence is percent of submissions with credible undisclosed AI signal.</w:t>
        <w:br/>
        <w:t>- Detection metrics: ROC-AUC, precision, recall, F1, precision@k, calibration (Brier score), and PPV/NPV stratified by subgroup. Explain ICC (inter-rater reliability) as the agreement measure for rubric scores; target ICC ≥ 0.75.</w:t>
        <w:br/>
        <w:t>- Learning metrics: rubric score means and distributions; effect sizes (Cohen's d) for learning gains.</w:t>
        <w:br/>
        <w:t>- Operational metrics: reviewer flag rate, reviewer-hours per 1,000 submissions, and false-positive cost estimates.</w:t>
        <w:br/>
        <w:t>Experimental setup:</w:t>
        <w:br/>
        <w:t>- Randomize sections within course to Treatment (authentic staged tasks) or Control (traditional final-task). Collect consented artifacts, logs, and post-submission surveys.</w:t>
        <w:br/>
        <w:t>- Train detectors on seed corpus; evaluate with leave-course-out cross-validation (hold out full courses) to test generalization. Leave-course-out means each course is held out as test to simulate new course deployment.</w:t>
        <w:br/>
        <w:t>- Fit mixed-effects models (random intercepts for course and section) to test treatment effect on undisclosed-AI prevalence and on rubric scores. Explain mixed-effects: models that account for clustered data (students within sections within courses).</w:t>
        <w:br/>
        <w:t>Ablations and comparisons:</w:t>
        <w:br/>
        <w:t>- Ablation 1: remove recorded rationale to measure contribution of multimodal evidence.</w:t>
        <w:br/>
        <w:t>- Ablation 2: remove edit-history/process logs to test their incremental value for detection and reduction.</w:t>
        <w:br/>
        <w:t>- Comparison: detection-only pipeline vs combined pipeline (detection + process signals) under normal and adversarial (red-team) test sets.</w:t>
        <w:br/>
        <w:t>Statistical tests and power:</w:t>
        <w:br/>
        <w:t>- Pre-register primary outcome and mixed model. Use two-sided tests with α=0.05. Power simulations (or reported analytic approximations) to detect medium effect (d≈0.5) accounting for clustering; pilot N≈360 is expected to detect medium effects under plausible ICCs but report sensitivity bounds. Missing data: multiple imputation with cluster indicators. Fairness analysis: report subgroup ROC metrics and FPR/FNR gaps.</w:t>
      </w:r>
    </w:p>
    <w:p>
      <w:r>
        <w:t xml:space="preserve"> </w:t>
      </w:r>
    </w:p>
    <w:p>
      <w:pPr>
        <w:pStyle w:val="Heading2"/>
      </w:pPr>
      <w:r>
        <w:t>Risk Factors And Limitations</w:t>
      </w:r>
    </w:p>
    <w:p>
      <w:r>
        <w:t>Technical failure modes:</w:t>
        <w:br/>
        <w:t>- Detector brittleness: adversarial obfuscation and model drift can reduce detection performance. Model drift means detector performance falls over time as new AI models or writing styles appear.</w:t>
        <w:br/>
        <w:t>- Low rubric reliability: if inter-rater agreement (ICC) is below targets, measurement error will undermine power and classifier labels.</w:t>
        <w:br/>
        <w:t>Data and evaluation biases:</w:t>
        <w:br/>
        <w:t>- Opt-in consent bias: participants who consent to research may differ from non-consenters, biasing prevalence and fairness estimates.</w:t>
        <w:br/>
        <w:t>- Small-class privacy risk: de-identified data can be re-identified in small cohorts.</w:t>
        <w:br/>
        <w:t>Scalability and resource limits:</w:t>
        <w:br/>
        <w:t>- High reviewer workload: staged grading and multimodal review increase instructor/TA time and cost.</w:t>
        <w:br/>
        <w:t>- Compute limits: training ensemble detectors and periodic retraining on adversarial data requires compute and maintenance resources.</w:t>
        <w:br/>
        <w:t>Generalization limits:</w:t>
        <w:br/>
        <w:t>- Discipline dependence: effects observed in humanities or lab courses may not generalize to other fields or high-stakes exams.</w:t>
        <w:br/>
        <w:t>- Metric interpretation: detection probabilities are uncertain; they cannot prove authorship and may produce false positives for nonstandard student styles (e.g., non-native speakers).</w:t>
        <w:br/>
        <w:t>Ethical and governance constraints:</w:t>
        <w:br/>
        <w:t>- Non-punitive intent may conflict with institutional integrity policies; operationalizing appeals and independent review is complex.</w:t>
        <w:br/>
        <w:t>Regulatory or legal constraints:</w:t>
        <w:br/>
        <w:t>- Cross-institutional data sharing may be restricted by data protection rules, limiting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