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homogeneity_risk_perceptions_systemic_risk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Text-mining calibrated analytical and agent-based modeling of how homogeneity in corporate risk perceptions amplifies systemic financial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decrease in cross-sectional dispersion of firms' perceived downside risk (greater homogeneity) causally increases the probability and size of systemic financial losses via more synchronized deleveraging and larger price-impact effects.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split into four camps: (1) textual risk-sentiment extraction that uses NLP on filings and calls to proxy firm beliefs, (2) reduced-form systemic risk measures (CoVaR, SRISK, portfolio VaR/ES) that quantify system-level tail risk from market data, (3) analytical mean-field and threshold models that derive aggregate loss as a function of agent-level rules, and (4) agent-based and network contagion models of fire-sales and default cascades. Limitations: text-based work rarely connects latent belief measures to mechanics of fire-sales or calibrated contagion models and often ignores measurement error; systemic-risk regressions are descriptive and struggle with endogeneity and identification of causal channels; mean-field models provide tractable intuition but omit network topology and measurement noise; ABMs capture nonlinearity but are typically uncalibrated, sensitive to network misspecification, and lack formal identification statements. No existing line robustly links multi-source textual belief dispersion, formal identification conditions, and calibrated ABM/network uncertainty to testable causal claims about homogeneity-driven systemic amplification.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and how homogeneity in corporate risk perceptions increases systemic financial risk. We combine text-mining of corporate risk disclosures with an analytical mean-field framework and a calibrated agent-based model (ABM). Text mining produces firm-level latent beliefs about downside risk (a latent belief is an unobserved internal estimate inferred from observed signals). The analytical core derives how aggregate loss depends on the cross-sectional dispersion of beliefs for families of sale rules g(b) and price-impact functions. The ABM embeds firms, lenders, markets, and a network of exposures to simulate synchronized deleveraging, fire-sales, and contagion. Main contributions are: (a) formal identification conditions linking belief-dispersion parameters to observable tail-loss moments, (b) a hierarchical measurement model that fuses NLP, option and CDS signals into a latent belief series, and (c) calibrated ABM experiments that map homogeneity to CoVaR/SRISK surfaces and policy counterfactuals. Expected outcome: clear, testable evidence on whether reduced dispersion amplifies systemic losses and when non-linear thresholds arise.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firm financials (Compustat), balance sheets and bank exposures (FR Y-9C), market data: equity returns (CRSP/TAQ), transaction volumes (TRACE), option-implied volatilities (OptionMetrics), CDS spreads (Markit), 13F holdings, regulatory filings and earnings transcripts (EDGAR/Refinitiv), supply-chain links (FactSet Revere). Frequency: construct monthly panel (N&gt;=150 firms, T&gt;=120 months); where frequency mismatches exist (13F) aggregate to monthly. Baselines: (A) reduced-form panel regressions of systemic metrics on dispersion (no measurement model), (B) measurement-only latent factor model without ABM, (C) mean-field analytical prediction only, (D) ABM with random-belief draws (no calibrated measurement). Methods: (1) Hierarchical Bayesian measurement model producing latent belief θ_it from NLP sentiment, implied-vol dispersion, CDS gaps, and holdings signals (explain: hierarchical Bayesian = probabilistic model that pools information across firms/time). (2) Analytical evaluation of Jacobian rank conditions for local identification of dispersion and feedback parameters for g(b) families (linear, convex power, S-shaped, threshold). (3) Calibrated ABM experiments varying σ_b (belief dispersion), ρ (public-signal weight), κ (price-impact), φ (leverage feedback); calibration by SMM (simulated method of moments) matching tail default quantiles, cross-sectional return comovement, fire-sale volumes, SRISK and CoVaR moments. Evaluation metrics: systemic event probability (fraction of firms defaulting), systemic loss size (market-value shortfall), VaR and Expected Shortfall (ES) at 99% and 95%, CoVaR and SRISK, RMSE and coverage for latent-belief recovery in simulations, first-stage F-statistics and weak-ID diagnostics, sensitivity of cascade probability to network censoring (0–90% missing edges). Ablations and comparisons: remove textual inputs from measurement model; replace linear price impact P=P0-κS with square-root impact P=P0-κ sqrt(S); drop network layer (mean-field only); test alternative g(b) families. Identification tests: IV panel regressions using index-reconstitution dates, disclosure-regime changes, and FOMC surprises as instruments; pre-specify estimand (LATE vs ATE), monotonicity assumption, first-stage effect size targets, and placebo windows. Computational setup: parallelized ABM runs on HPC (multi-core), 5000 Monte Carlo runs per parameter combination for tail estimation.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NLP and market proxies may weakly load on latent beliefs (weak identification), producing biased estimates. Endogeneity: beliefs, prices, and leverage are simultaneous; instruments may be weak or violate exclusion restrictions. Network data gaps: bilateral exposures and supply-chain links are often censored, and adversarial missingness (up to 90%) can bias cascade estimates. Model risk: ABM results sensitive to functional choice of g(b) and price-impact; non-robust thresholds may be model artifacts. Scalability and compute: calibration and tail Monte Carlo require large HPC resources; limited compute reduces precision in extreme-tail estimates. Sample-size limitations: panel size and event rarity limit power to detect small effects; frequency mismatches (13F quarterly vs market monthly/daily) complicate alignment. External validity: results may not generalize across countries or non-covered sectors. Policy inference limits: cost-benefit welfare calculations depend on normative choices and unobservable planner preferences. Privacy and access: some exposure data require proprietary licenses, restricting replication.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