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repair_initiation_esl_ghana</w:t>
      </w:r>
    </w:p>
    <w:p>
      <w:r>
        <w:t xml:space="preserve"> </w:t>
      </w:r>
    </w:p>
    <w:p>
      <w:pPr>
        <w:pStyle w:val="Heading2"/>
      </w:pPr>
      <w:r>
        <w:t>Title</w:t>
      </w:r>
    </w:p>
    <w:p>
      <w:r>
        <w:t>Conversation-analytic investigation of repair initiation as a mechanism for resolving communication breakdowns in Ghanaian ESL classrooms</w:t>
      </w:r>
    </w:p>
    <w:p>
      <w:r>
        <w:t xml:space="preserve"> </w:t>
      </w:r>
    </w:p>
    <w:p>
      <w:pPr>
        <w:pStyle w:val="Heading2"/>
      </w:pPr>
      <w:r>
        <w:t>Short Hypothesis</w:t>
      </w:r>
    </w:p>
    <w:p>
      <w:r>
        <w:t>Other-initiated repair (teacher- or peer-initiated requests for repair) causally increases the probability of immediate student uptake relative to self-initiated repair, controlling for proficiency, repair format, and task type.</w:t>
      </w:r>
    </w:p>
    <w:p>
      <w:r>
        <w:t xml:space="preserve"> </w:t>
      </w:r>
    </w:p>
    <w:p>
      <w:pPr>
        <w:pStyle w:val="Heading2"/>
      </w:pPr>
      <w:r>
        <w:t>Related Work</w:t>
      </w:r>
    </w:p>
    <w:p>
      <w:r>
        <w:t>Prior research divides into two main strands: conversation analysis (CA) studies that finely describe repair sequences and second language acquisition (SLA) work that links corrective moves to learning outcomes. CA studies emphasize micro-sequential detail (timing, turn shape, multimodal displays) but often use small, descriptive samples and rarely quantify learning outcomes. SLA and classroom-correction studies typically use larger samples and quantitative models but simplify repair categories, ignore fine timing and multimodal cues, and sometimes conflate teacher correction with other-initiated repair. Existing mixed-method efforts attempt linkage between repair forms and uptake but lack pre-registered analytic rules, clear nesting/random-effects specifications, and tests of how anonymization or audio/video transformations affect prosodic and gestural signals. Limitations: inconsistent operational definitions of "opportunity-to-repair", sparse multimodal annotation, weak handling of temporal alignment windows, and limited evidence tying repair mechanics to short- and mid-term retention.</w:t>
      </w:r>
    </w:p>
    <w:p>
      <w:r>
        <w:t xml:space="preserve"> </w:t>
      </w:r>
    </w:p>
    <w:p>
      <w:pPr>
        <w:pStyle w:val="Heading2"/>
      </w:pPr>
      <w:r>
        <w:t>Abstract</w:t>
      </w:r>
    </w:p>
    <w:p>
      <w:r>
        <w:t>This study uses conversation analysis combined with quantitative modeling to examine how repair initiation resolves communication breakdowns in Ghanaian ESL classrooms. We analyze 52 hours of recorded classroom interaction with fine-grained Jeffersonian transcription and synchronized multimodal annotation (gaze, gesture, prosody). The core approach pairs sequential CA micro-analysis of exemplar repair episodes with pre-registered mixed-effects models that predict immediate uptake and short-term retention from initiator type, repair format, trouble source, sequential position, and a multimodal cue index. Main contributions are: (1) a validated multimodal coding taxonomy and living codebook, (2) explicit operational rules and pre-registered analytic contingencies for mixed-effects models, and (3) empirical estimates linking repair practices to uptake and retention. Expected outcomes include clear effect-size estimates for other- vs self-initiated repair, quantification of multimodal contributions, and reproducible pipelines (templates, exemplar data, and simulation code) to support inference in classroom CA and SLA research.</w:t>
      </w:r>
    </w:p>
    <w:p>
      <w:r>
        <w:t xml:space="preserve"> </w:t>
      </w:r>
    </w:p>
    <w:p>
      <w:pPr>
        <w:pStyle w:val="Heading2"/>
      </w:pPr>
      <w:r>
        <w:t>Experiments</w:t>
      </w:r>
    </w:p>
    <w:p>
      <w:r>
        <w:t>Datasets: Pilot corpus: 10 classrooms, 10 teachers, ~20 class sessions, ~100 students, 500–800 richly transcribed repair tokens drawn from whole-class Q&amp;A, pairwork, drills, and feedback; Full corpus plan: 20 teachers, 40 sessions, ~400 students, ~2,000 tokens. Baselines: (A) null mixed model with covariates only; (B) model without multimodal index; (C) model collapsing repair format; (D) aggregated class-level logistic model. Primary outcome: immediate uptake (binary: uptake within the repair sequence). Secondary outcomes: uptake delay (milliseconds from repair-initiation to uptake), uptake quality (categorical: exact repair, partial, no repair), and retention accuracy on matched items at immediate post, 1 week, and 4 weeks. Models: pre-registered mixed-effects logistic regression with formula: uptake ~ initiator + repair_format + trouble_source + seq_position + multimodal_index + proficiency + item_difficulty + task_type + (1 | teacher) + (1 | class) + (1 | student). Nesting: students nested in classes; classes nested in teachers when teachers teach multiple classes; if teachers are crossed with classes, include crossed random intercepts. Random slopes for initiator will be attempted at student and class levels; retain a slope only if its variance component &gt; 0.01 and model converges. Temporal-window selection: test 250 ms, 500 ms, 1000 ms windows and run an initiator×window interaction; select primary window if interaction is non-significant under equivalence bounds corresponding to ±10% change in focal odds ratio. Statistical checks: optimizer alternatives, AR(1) residuals, and Bayesian re-fit with weak priors if convergence fails. Ablation studies: (1) drop multimodal index, (2) drop repair_format, (3) aggregate to class-level; compare AIC/WAIC, marginal effects, and absolute uptake rates. Evaluation metrics: odds ratios with 95% CIs, marginal effects, ICCs, mean absolute timing error for alignment, retention accuracy (%) and Cohen's d for pre/post comparisons. Annotation reliability: Krippendorff’s alpha target ≥ 0.80 for core codes. Pre-registration: primary hypothesis, exclusion rules, imputation plan for covariates (MICE), and decision tree for model-failure modes with code templates and synthetic-data examples.</w:t>
      </w:r>
    </w:p>
    <w:p>
      <w:r>
        <w:t xml:space="preserve"> </w:t>
      </w:r>
    </w:p>
    <w:p>
      <w:pPr>
        <w:pStyle w:val="Heading2"/>
      </w:pPr>
      <w:r>
        <w:t>Risk Factors And Limitations</w:t>
      </w:r>
    </w:p>
    <w:p>
      <w:r>
        <w:t>Low token counts per cell: some repair types may be rare, reducing power and preventing stable random-slope estimates. Annotation disagreement: fine-grained Jeffersonian and multimodal coding is time-consuming and may yield low inter-rater reliability. Anonymization effects: voice-conversion or visual blurring may distort prosody, gesture timing, or speech signals used in analysis. Timing errors: synchronization drift or annotator timing MAE &gt;100 ms could bias micro-timing measures and conditional sequence inferences. Model convergence: complex mixed models may not converge, forcing simplification or aggregation that changes inference. Generalization: findings from Ghanaian ESL classrooms may not transfer to other cultural, age, or proficiency contexts. Ethical/data-sharing limits: participant withdrawal or restricted consent may reduce available exemplars for public reproducibility. Stimulated-recall bias: retrospective reports may rationalize behavior; short clip length and immediate probes are planned but cannot eliminate reconstruction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