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meds_on_boards_audit_quality_pk</w:t>
      </w:r>
    </w:p>
    <w:p>
      <w:r>
        <w:t xml:space="preserve"> </w:t>
      </w:r>
    </w:p>
    <w:p>
      <w:pPr>
        <w:pStyle w:val="Heading2"/>
      </w:pPr>
      <w:r>
        <w:t>Title</w:t>
      </w:r>
    </w:p>
    <w:p>
      <w:r>
        <w:t>Causal analysis of military-experienced directors on audit quality and earnings management in Pakistan using staggered difference-in-differences and instrumental variables</w:t>
      </w:r>
    </w:p>
    <w:p>
      <w:r>
        <w:t xml:space="preserve"> </w:t>
      </w:r>
    </w:p>
    <w:p>
      <w:pPr>
        <w:pStyle w:val="Heading2"/>
      </w:pPr>
      <w:r>
        <w:t>Short Hypothesis</w:t>
      </w:r>
    </w:p>
    <w:p>
      <w:r>
        <w:t>The appointment of military-experienced directors to corporate boards causally reduces accrual-based and real earnings management in non-financial firms listed on the Pakistan Stock Exchange.</w:t>
      </w:r>
    </w:p>
    <w:p>
      <w:r>
        <w:t xml:space="preserve"> </w:t>
      </w:r>
    </w:p>
    <w:p>
      <w:pPr>
        <w:pStyle w:val="Heading2"/>
      </w:pPr>
      <w:r>
        <w:t>Related Work</w:t>
      </w:r>
    </w:p>
    <w:p>
      <w:r>
        <w:t>Prior work links board composition to financial reporting quality and links audit-firm choice to earnings-management outcomes. Common methods have included cross-sectional regressions, firm fixed-effects, event studies, and basic difference-in-differences (DiD). Studies that treat board-background effects struggle with endogeneity (when cause and effect are mixed), imperfect coding of director backgrounds, and weak instruments (external variables used to isolate causal variation). Many prior analyses use manual coding of director bios or limited samples, which can cause measurement error. Auditing-focused literature uses Big Four affiliation and modified opinions as audit-quality proxies but often cannot establish causality because firms that hire higher-quality auditors also differ in unobserved ways. Limitations in existing approaches include: inadequate handling of staggered treatment timing (appointments at different times), sparse hand-label validation of director military status, limited mediation analysis (how audit quality channels link directors to reporting), and weak or unclearly defined instruments for exogenous variation.</w:t>
      </w:r>
    </w:p>
    <w:p>
      <w:r>
        <w:t xml:space="preserve"> </w:t>
      </w:r>
    </w:p>
    <w:p>
      <w:pPr>
        <w:pStyle w:val="Heading2"/>
      </w:pPr>
      <w:r>
        <w:t>Abstract</w:t>
      </w:r>
    </w:p>
    <w:p>
      <w:r>
        <w:t>This study tests whether placing directors with military experience on corporate boards causally reduces earnings management and raises audit quality for non-financial firms listed on the Pakistan Stock Exchange (2010–2022). We combine a high-fidelity director-bio classifier with panel econometrics: a staggered difference-in-differences estimator (which compares firms before and after appointments across different timing groups) and instrumental-variable designs that use exogenous local veteran-supply shocks (e.g., base-closure distance-weighted exposure). The primary outcomes are accrual-based discretionary accruals and Roychowdhury-style real activity measures; secondary outcomes are Big Four auditor engagement, auditor-modified-opinion rates, and restatement incidence within two years. Main contributions are (1) reproducible measurement of military experience via a hand-validated NLP pipeline, (2) causal identification combining staggered DiD and IVs with pre-trend and weak-instrument diagnostics, and (3) mediation tests of audit-quality channels. Expected outcome: credible causal estimates of the effect size of military-experienced directors on earnings management and audit outcomes in Pakistan, informing governance policy.</w:t>
      </w:r>
    </w:p>
    <w:p>
      <w:r>
        <w:t xml:space="preserve"> </w:t>
      </w:r>
    </w:p>
    <w:p>
      <w:pPr>
        <w:pStyle w:val="Heading2"/>
      </w:pPr>
      <w:r>
        <w:t>Experiments</w:t>
      </w:r>
    </w:p>
    <w:p>
      <w:r>
        <w:t>Datasets: firm-year panel of non-financial PSX-listed firms 2010–2022 (financial statements and market data), director bios from SECP filings and annual reports, audit reports indicating auditor name and opinion, restatement records, and geospatial data on military base closures and local veteran population by district (census). Construct accrual measures: discretionary accruals using Kothari et al. (2005) performance-matched residuals; robustness with Modified Jones. Construct real EM: Roychowdhury (2006) abnormal cash flow from operations, abnormal production, abnormal discretionary expenses. MED coding: train RoBERTa-based classifier on a hand-labeled validation set of 1,200 bios (three annotators per record) and export binary MED indicators, proportion of board MEDs, and chair/CEO MED dummy. Baselines: (A) pooled OLS with firm and year fixed effects; (B) firm-fixed-effects DiD; (C) propensity-score matched DiD; (D) Callaway–Sant’Anna staggered DiD (group-time ATT); (E) IV using distance-weighted base-closure/veteran-supply instrument; (F) event-study with lead/lags. Evaluation metrics: coefficient estimates and standard errors for MED on accruals and real-EM; ATT estimates for treated groups; first-stage F-statistic and Kleibergen-Paap rk statistic for IV strength; proportion mediated via audit-quality variables; clustered SEs at firm level and wild-bootstrap p-values. Experimental setup: define treatment onset as fiscal year where director served &gt;=183 days; event window -3 to +4 years; include controls (ln assets, leverage, ROA, market-to-book, growth, loss indicator, R&amp;D, capital intensity, board size, board independence, CEO duality, audit-committee expertise, institutional ownership), with primary specifications excluding suspected post-treatment controls. Ablations: (1) replace automated MED labels with hand-labeled subset to measure misclassification impact; (2) exclude IV and run pure staggered DiD; (3) omit potential bad controls (local GDP, defense procurement) to assess sensitivity. Report heterogeneous effects by audit-committee expertise, board independence, and firm risk. All code and pre-processing scripts versioned and seed-fixed for reproducibility.</w:t>
      </w:r>
    </w:p>
    <w:p>
      <w:r>
        <w:t xml:space="preserve"> </w:t>
      </w:r>
    </w:p>
    <w:p>
      <w:pPr>
        <w:pStyle w:val="Heading2"/>
      </w:pPr>
      <w:r>
        <w:t>Risk Factors And Limitations</w:t>
      </w:r>
    </w:p>
    <w:p>
      <w:r>
        <w:t>Selection bias: firms may appoint military directors for reasons correlated with unobserved trends, confounding causal estimates. Weak instruments: base-closure or veteran-supply instruments may have limited first-stage strength or violate exclusion (they may affect firms through local economic channels). Measurement error: incomplete or ambiguous bios and imperfect NLP classification can attenuate effects. Data coverage: Board and audit data for Pakistan may be incomplete or uneven across firms and years. Small treated-sample sizes: low prevalence of MEDs reduces statistical power and precision. Unobserved time-varying confounders: firm shocks coincident with appointments may bias DiD estimates. Generalizability: findings from Pakistan may not transfer to other countries or regulatory regimes. Outcome measurement limits: accrual models and real-activity measures have known modeling errors and can misclassify normal variation as manipulation. Legal and access constraints: proprietary data sources may restrict replication and limit released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