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saudi_21cs_teacher_integration</w:t>
      </w:r>
    </w:p>
    <w:p>
      <w:r>
        <w:t xml:space="preserve"> </w:t>
      </w:r>
    </w:p>
    <w:p>
      <w:pPr>
        <w:pStyle w:val="Heading2"/>
      </w:pPr>
      <w:r>
        <w:t>Title</w:t>
      </w:r>
    </w:p>
    <w:p>
      <w:r>
        <w:t>A convergent mixed-methods study of English and mathematics teachers' integration of 21st century skills and barriers in Saudi Arabia</w:t>
      </w:r>
    </w:p>
    <w:p>
      <w:r>
        <w:t xml:space="preserve"> </w:t>
      </w:r>
    </w:p>
    <w:p>
      <w:pPr>
        <w:pStyle w:val="Heading2"/>
      </w:pPr>
      <w:r>
        <w:t>Short Hypothesis</w:t>
      </w:r>
    </w:p>
    <w:p>
      <w:r>
        <w:t>Teachers assigned to targeted professional development and resource support will demonstrate higher 21st century skills integration in English and mathematics instruction than teachers not assigned to the support, as measured by a standardized teacher-level 21CS instructional-practice index.</w:t>
      </w:r>
    </w:p>
    <w:p>
      <w:r>
        <w:t xml:space="preserve"> </w:t>
      </w:r>
    </w:p>
    <w:p>
      <w:pPr>
        <w:pStyle w:val="Heading2"/>
      </w:pPr>
      <w:r>
        <w:t>Related Work</w:t>
      </w:r>
    </w:p>
    <w:p>
      <w:r>
        <w:t>Existing studies document that teachers in Saudi Arabia and similar contexts report low-to-moderate integration of 21st century skills and face barriers such as traditional pedagogical norms, limited ICT resources, and large classes. Prior approaches typically rely on single-method designs (surveys or interviews) or small, non-representative samples, limiting generalizability. Observation-based studies often lack validated rubrics, repeated reliability checks, or linking to student outcomes. Few works combine rigorous measurement validation (factor analysis, reliability, invariance testing), multilevel causal designs (cluster randomization), and explicit value-added student outcome models. Limitations that remain: inadequate sample sizes for subgroup or interaction tests, weak or untested composites combining self-report, observation, and student tasks, insufficient handling of clustering and missing data, and little attention to cultural operationalization (gender-segregation) and contamination between schools.</w:t>
      </w:r>
    </w:p>
    <w:p>
      <w:r>
        <w:t xml:space="preserve"> </w:t>
      </w:r>
    </w:p>
    <w:p>
      <w:pPr>
        <w:pStyle w:val="Heading2"/>
      </w:pPr>
      <w:r>
        <w:t>Abstract</w:t>
      </w:r>
    </w:p>
    <w:p>
      <w:r>
        <w:t>This study examines how English and mathematics teachers in Saudi Arabia integrate four 21st century skills—creativity, collaboration, critical thinking, and communication—into instruction and what barriers limit integration. We use a convergent mixed-methods design that pairs a cluster-randomized PD intervention (quantitative) with classroom observations, semi-structured interviews, and document/artifact analysis (qualitative). The main contribution is a validated, teacher-level 21CS instructional-practice composite that combines standardized observation scores, teacher self-report, and a short student performance-task value-added score. We pre-specify multilevel intention-to-treat (ITT) estimation, Complier Average Causal Effect (CACE) analyses, psychometric pipelines (EFA→CFA, omega reliability, measurement invariance), and transparent missing-data and sensitivity strategies. Expected outcomes include estimates of PD impact on teacher practice, detailed description of contextual barriers, and measurement tools (rubric and survey) adapted for Saudi schools. Findings will inform policy and scalable professional development aligned to national education priorities.</w:t>
      </w:r>
    </w:p>
    <w:p>
      <w:r>
        <w:t xml:space="preserve"> </w:t>
      </w:r>
    </w:p>
    <w:p>
      <w:pPr>
        <w:pStyle w:val="Heading2"/>
      </w:pPr>
      <w:r>
        <w:t>Experiments</w:t>
      </w:r>
    </w:p>
    <w:p>
      <w:r>
        <w:t>Design: cluster-randomized controlled trial (schools = clusters) with concurrent qualitative sampling. Pilot: 30 schools (≈5 teachers/school) to estimate ICCs and rubric variance components. Main trial example scenario: 80 schools total, 40 intervention / 40 control, average m = 8 targeted teachers per school → ≈640 teachers. Power benchmarks: using cluster formula k = [(Z_{1-α/2}+Z_{1-β})^2 * 2 * (1+(m-1)*ICC)]/(m*Δ^2). Example MDEs: Δ=0.30 standardized; ICC scenarios: 0.02/0.05/0.10 produce ~20/30/45 clusters per arm (rounded). Baseline and randomization: stratified by region, school type (public/private), level (primary/secondary), and gender-segregation. Data collection: teacher survey, 3–4 classroom observations per teacher with video, semi-structured interviews (n=40–60 purposive), and student short performance tasks (pre/post) administered to classes. Baselines: business-as-usual (no PD) as control; PD arm receives modular training and coaching. Primary outcome: teacher-level 21CS composite = standardized average of (A) observation rubric mean (five domains, 0–4), (B) teacher self-report index (0–4), (C) class-level student value-added (VAM) z-score. VAM specification: multilevel value-added model with student pretest, student demographics, class size, and teacher random intercept; if classes &lt;6 students or pretest variance low, flag and exclude or aggregate across adjacent classes. Baselines for analyses: unadjusted mean differences, adjusted multilevel mixed-effects ANCOVA (outcome ~ treatment + baseline outcome + covariates + strata fixed effects + school random intercept). Secondary analyses: CACE via IV (instrument = assignment) with compliance defined as ≥75% PD hours attended and coach-rated adherence ≥70%; report first-stage F-stat (threshold &gt;10). Psychometrics: EFA on half sample, CFA on holdout, compute omega reliability (target ω ≥ 0.70), test measurement invariance (configural/metric/scalar) across subject, gender, and region. Missing data: two-level multiple imputation (continuous/ordinal/binary models) with m≥50 imputations including cluster indicators and design weights; report MI diagnostics. Sensitivity analyses: MNAR delta-adjustments (-0.1, -0.2, -0.4 SD), weak-instrument checks, and wild-cluster bootstrap for SEs. Ablations: (1) composite without student VAM, (2) composite using CFA-derived weights vs equal weights, (3) observation-only outcome, (4) excluding video-coded observations to test reliability impact. Qualitative: thematic coding with codebook, intercoder Kappa ≥ 0.70, joint displays to integrate quantitative patterns with teacher-reported barriers. Contamination checks: test district-level spillovers via buffer analysis and include district fixed effects; report any cross-arm training exposure.</w:t>
      </w:r>
    </w:p>
    <w:p>
      <w:r>
        <w:t xml:space="preserve"> </w:t>
      </w:r>
    </w:p>
    <w:p>
      <w:pPr>
        <w:pStyle w:val="Heading2"/>
      </w:pPr>
      <w:r>
        <w:t>Risk Factors And Limitations</w:t>
      </w:r>
    </w:p>
    <w:p>
      <w:r>
        <w:t>Administrative delays and MOE approvals may reduce feasible clusters and extend timeline. Gender-segregated access may require separate field teams and slow recruitment. Contamination risk: PD materials or practices may spread to control schools, biasing ITT estimates. Low inter-rater reliability on observation rubrics may reduce outcome validity (failure to reach ICC/kappa ≥ 0.70 is a risk). Small class sizes or low pretest variance can make class-level VAM unstable or unreliable. Missing data and differential attrition may bias estimates if MNAR mechanisms dominate. Weak compliance (few teachers attend PD) can weaken IV/CACE identification (first-stage F-stat &lt;10). Spatial or contextual heterogeneity (urban/rural, private/public) may limit generalization beyond sampled strata. Resource constraints (video storage, coder capacity) can limit double-coding and QA. The composite outcome combines different data types; mis-specification of weights or poor measurement invariance across groups can invalidate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