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social_capital_digital_literacy_ses_he_access</w:t>
      </w:r>
    </w:p>
    <w:p>
      <w:r>
        <w:t xml:space="preserve"> </w:t>
      </w:r>
    </w:p>
    <w:p>
      <w:pPr>
        <w:pStyle w:val="Heading2"/>
      </w:pPr>
      <w:r>
        <w:t>Title</w:t>
      </w:r>
    </w:p>
    <w:p>
      <w:r>
        <w:t>Longitudinal mediation analysis of social capital and digital literacy effects on higher-education access among Chinese high-school graduates</w:t>
      </w:r>
    </w:p>
    <w:p>
      <w:r>
        <w:t xml:space="preserve"> </w:t>
      </w:r>
    </w:p>
    <w:p>
      <w:pPr>
        <w:pStyle w:val="Heading2"/>
      </w:pPr>
      <w:r>
        <w:t>Short Hypothesis</w:t>
      </w:r>
    </w:p>
    <w:p>
      <w:r>
        <w:t>Higher levels of family and school bridging social capital at baseline causally increase the probability of enrolling in higher education, and this effect is mediated by improvements in digital literacy and institutional knowledge after controlling for socioeconomic status.</w:t>
      </w:r>
    </w:p>
    <w:p>
      <w:r>
        <w:t xml:space="preserve"> </w:t>
      </w:r>
    </w:p>
    <w:p>
      <w:pPr>
        <w:pStyle w:val="Heading2"/>
      </w:pPr>
      <w:r>
        <w:t>Related Work</w:t>
      </w:r>
    </w:p>
    <w:p>
      <w:r>
        <w:t>Prior work links social capital, digital literacy, and socioeconomic status (SES) to educational access but mostly uses cross-sectional surveys, simple regression adjustments, or correlational mediation. Measurement often relies on self-reports, producing measurement error and weak validation of digital skills. Existing causal work applies standard approaches (propensity scores, difference-in-differences, instrumental variables) but rarely combines modern targeted estimators (e.g., TMLE), multilevel mediation, performance-based digital-literacy measures, and passive digital-trace data. Limitations in current methods include: inadequate handling of time-varying confounding and feedback, limited sensitivity analyses for unmeasured confounding and selection bias, sparse validation of digital-trace signals, and little calibration of sensitivity thresholds to policy-relevant effect sizes or subgroup (SES) heterogeneity.</w:t>
      </w:r>
    </w:p>
    <w:p>
      <w:r>
        <w:t xml:space="preserve"> </w:t>
      </w:r>
    </w:p>
    <w:p>
      <w:pPr>
        <w:pStyle w:val="Heading2"/>
      </w:pPr>
      <w:r>
        <w:t>Abstract</w:t>
      </w:r>
    </w:p>
    <w:p>
      <w:r>
        <w:t>This study examines how social capital influences access to higher education for Chinese high-school graduates and how digital literacy and SES interact with social capital to shape application and enrollment outcomes. We collect a longitudinal panel linking student surveys, performance-based digital-literacy tasks, administrative application/enrollment records, and opt-in digital-trace metadata. We estimate causal pathways using longitudinal mediation methods: targeted maximum likelihood estimation (TMLE) and sequential g-formula for time-varying mediators, and multilevel structural equation models for decomposition across schools (students nested in schools). We pre-specify covariates, measurement models, and graded sensitivity analyses (E-values, partial R2, mediation sensitivity) and release reproducible code and synthetic data. The main contribution is rigorous quantification of direct and indirect effects (via digital literacy and institutional knowledge) and calibrated robustness bands tied to absolute enrollment probability, producing evidence to guide targeted digital-literacy or brokerage interventions. Expected impact: clearer causal evidence on mechanisms reproducing inequality and policy-relevant estimates of potential interventions.</w:t>
      </w:r>
    </w:p>
    <w:p>
      <w:r>
        <w:t xml:space="preserve"> </w:t>
      </w:r>
    </w:p>
    <w:p>
      <w:pPr>
        <w:pStyle w:val="Heading2"/>
      </w:pPr>
      <w:r>
        <w:t>Experiments</w:t>
      </w:r>
    </w:p>
    <w:p>
      <w:r>
        <w:t>Datasets: (1) Longitudinal panel of N = 5,000 final-year high-school students sampled from 100 schools (approx. 50 per school); collection times T0 (baseline SES), T1 (social capital measures), T2 (digital literacy and institutional knowledge), T3 (application behavior), T4 (offers and enrollment); (2) linked administrative records of application timing, offers, financial aid, enrollment; (3) opt-in digital-trace metadata (timestamps and page categories) for application portals; (4) pilot performance tasks for digital literacy (timed simulation of an application task). Baselines: naive OLS/logistic regression; multilevel logistic regression (students nested within schools); propensity-score weighting; standard cross-sectional mediation (Baron-Kenny). Primary estimators: TMLE/ltmle for ATE and sequential mediation, marginal structural models (MSM) with stabilized weights for time-varying confounding, and multilevel SEM for decomposition. Covariate set: baseline SES (parental education, income proxy), prior achievement, gender, urban/rural, school fixed effects. Evaluation metrics: primary outcome — enrollment (binary): risk difference (absolute probability change), odds ratio, ATE with 95% CI; mediation metrics — natural indirect effect (NIE) and natural direct effect (NDE) reported as risk differences; estimator performance — bias, root mean squared error (RMSE), 95% CI coverage, and statistical power for NIE/NDE; sensitivity metrics — E-values and partial R2 breakdown points. Experimental setup: (a) Preprocessing: construct multi-item indices via confirmatory factor analysis (CFA) for social capital and digital literacy; impute missing data with multilevel MICE; account for clustering by school. (b) Primary analysis: estimate ATE of T1 bridging social capital on T4 enrollment with TMLE (cluster-robust influence curve or wild cluster bootstrap for inference). (c) Mediation: sequential g-formula/ltmle for T1→T2→T4 paths with time-lagging and stabilized weights. (d) Sensitivity: compute E-values and sensemakr partial R2; run mediator-specific medsens (rho grid). (e) Ablations: compare results when removing (i) digital-trace data, (ii) performance-based digital-literacy tasks, (iii) treating social capital as binary versus continuous index, and (iv) alternative mediator orderings. (f) IV check: where available, estimate 2SLS using exogenous broadband-rollout timing as instrument and report Balke-Pearl bounds. (g) Diagnostics: report ICCs, overlap/balance diagnostics, first-stage F-statistics for IV (&gt;10), and bootstrap cluster SEs. (h) Power/simulation: run Monte Carlo simulations varying ICC (0.02–0.10), attrition (10–30%), and indirect effect sizes (ab = 0.05–0.15) to report expected power for NIE/NDE.</w:t>
      </w:r>
    </w:p>
    <w:p>
      <w:r>
        <w:t xml:space="preserve"> </w:t>
      </w:r>
    </w:p>
    <w:p>
      <w:pPr>
        <w:pStyle w:val="Heading2"/>
      </w:pPr>
      <w:r>
        <w:t>Risk Factors And Limitations</w:t>
      </w:r>
    </w:p>
    <w:p>
      <w:r>
        <w:t>Measurement error: social capital and digital literacy indices may be noisy (self-report bias, performance-task ceiling/floor effects). Selection bias and attrition: nonrandom dropout (MNAR) can bias longitudinal mediation; stabilized weights and pattern-mixture models may be limited. Unmeasured confounding: time-varying confounders induced by treatment can invalidate mediation identification. Weak instruments: exogenous instruments (e.g., broadband rollout) may be weak or violate exclusion restrictions. Limited generalization: findings from Chinese school contexts may not generalize to other countries. Privacy constraints: low opt-in rates for digital traces reduce power and may induce selection. Clustered estimators: TMLE and MSM behavior in small numbers of clusters can yield biased SEs; inference may require bootstrap or small-sample corrections. Computational cost: TMLE/ltmle and large sensitivity simulations require substantial compute and careful reproducibility management.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