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aesthetics_of_comparativeness</w:t>
      </w:r>
    </w:p>
    <w:p>
      <w:r>
        <w:t xml:space="preserve"> </w:t>
      </w:r>
    </w:p>
    <w:p>
      <w:pPr>
        <w:pStyle w:val="Heading2"/>
      </w:pPr>
      <w:r>
        <w:t>Title</w:t>
      </w:r>
    </w:p>
    <w:p>
      <w:r>
        <w:t>A multimodal computational and philological method to detect and analyze aesthetic acts of comparativeness in Islamic texts and visual culture</w:t>
      </w:r>
    </w:p>
    <w:p>
      <w:r>
        <w:t xml:space="preserve"> </w:t>
      </w:r>
    </w:p>
    <w:p>
      <w:pPr>
        <w:pStyle w:val="Heading2"/>
      </w:pPr>
      <w:r>
        <w:t>Short Hypothesis</w:t>
      </w:r>
    </w:p>
    <w:p>
      <w:r>
        <w:t>Integrating script-aware OCR, supervised NLP classifiers, and visual-feature detectors causes a statistically significant increase in F1 score for detecting annotated instances of tashbih, muqarana, nazar, dhawq, and ornamental analogy versus a text-only NLP baseline.</w:t>
      </w:r>
    </w:p>
    <w:p>
      <w:r>
        <w:t xml:space="preserve"> </w:t>
      </w:r>
    </w:p>
    <w:p>
      <w:pPr>
        <w:pStyle w:val="Heading2"/>
      </w:pPr>
      <w:r>
        <w:t>Related Work</w:t>
      </w:r>
    </w:p>
    <w:p>
      <w:r>
        <w:t>Existing work spans three strands: (1) OCR and text processing for Arabic-script corpora; (2) computational rhetoric and metaphor detection in NLP; and (3) image analysis for motif and style clustering in art-history and digital humanities. Limitations across these strands include weak integration across text and image modalities, poor robustness to historical scripts and degraded folios, small or no gold-standard corpora for rhetorical/ aesthetic codes, and limited hermeneutic validation linking algorithmic outputs to expert judgments. Prior methods typically treat text or image tasks separately, use off-the-shelf models not adapted to Perso-Arabic hands, and report coarse metrics without stratified reliability or adversarial testing. These gaps leave cross-modal detection of comparative aesthetic acts underdeveloped and poorly validated.</w:t>
      </w:r>
    </w:p>
    <w:p>
      <w:r>
        <w:t xml:space="preserve"> </w:t>
      </w:r>
    </w:p>
    <w:p>
      <w:pPr>
        <w:pStyle w:val="Heading2"/>
      </w:pPr>
      <w:r>
        <w:t>Abstract</w:t>
      </w:r>
    </w:p>
    <w:p>
      <w:r>
        <w:t>This project develops and evaluates a multimodal pipeline that combines philological annotation, script-aware OCR, supervised natural language processing, and visual-feature detection to identify and analyze acts of comparativeness (tashbih, muqarana, nazar, dhawq, ornamental analogy) in Islamic textual and material culture. The approach links text spans, image regions, and manuscript layout through persistent identifiers and a shared codebook, enabling systematic measurement of when and how comparison is used across genres, regions, and periods. The main contribution is a reproducible pilot dataset and evaluation framework that measures detection performance, inter-coder reliability, and robustness to degraded documents and visual noise. Expected outcomes are an annotated multimodal pilot corpus, quantitative evidence for the added value of visual and philological signals in detecting comparativeness, and a set of operational artifacts (codebook, annotation schema, evaluation scripts) that support further scaled studies in digital humanities and comparative Islamic aesthetics.</w:t>
      </w:r>
    </w:p>
    <w:p>
      <w:r>
        <w:t xml:space="preserve"> </w:t>
      </w:r>
    </w:p>
    <w:p>
      <w:pPr>
        <w:pStyle w:val="Heading2"/>
      </w:pPr>
      <w:r>
        <w:t>Experiments</w:t>
      </w:r>
    </w:p>
    <w:p>
      <w:r>
        <w:t>Datasets: (A) Text corpus: 30 core bilingual works (Arabic/Persian/Ottoman/Urdu) split into train/dev/test at work-level; (B) Manuscript folios: 200 manually transcribed and dual-annotated folios (gold set) partitioned 60/20/20; (C) Images: 1,500 IIIF-enabled manuscript images linked to folios; (D) Ethnographic transcripts: 15 annotated interview transcripts for dhawq and craft vocabularies. Ground-truth: ~1,000 annotated instances across five codes. Baselines: (1) text-only supervised classifier (BERT-multilingual or CAMeL-style models) using corrected OCR; (2) rule-based simile detector using token patterns; (3) image-only motif clustering with CLIP embeddings. Proposed model: multimodal pipeline that links OCR text spans, NLP classifiers, and image-region detectors. Metrics: precision, recall, F1 per code; macro-F1; Cohen's kappa for inter-coder agreement; character accuracy for OCR; Adjusted Rand Index (ARI) and purity for image clustering; statistical significance via paired bootstrap (p&lt;0.05). Setup: train/dev/test splits by work to avoid leakage; 5-fold cross-validation at folio level for variance estimates; hyperparameter grid search on dev set. Ablations: (A) remove image features (text-only); (B) remove philological adjudication layer (automated labels only); (C) degrade OCR input (simulate 85% char-accuracy). Adversarial/degradation tests: Gaussian blur levels, JPEG compression, stains/occlusions (synthetic masks) applied to 20% of test images; measure drop in OCR and downstream F1. Evaluation protocol: report per-code metrics, confidence intervals, and effect sizes; conduct error analysis on top 50 false positives/negatives per code. Reproducibility: publish code, containerized pipelines, and evaluation scripts.</w:t>
      </w:r>
    </w:p>
    <w:p>
      <w:r>
        <w:t xml:space="preserve"> </w:t>
      </w:r>
    </w:p>
    <w:p>
      <w:pPr>
        <w:pStyle w:val="Heading2"/>
      </w:pPr>
      <w:r>
        <w:t>Risk Factors And Limitations</w:t>
      </w:r>
    </w:p>
    <w:p>
      <w:r>
        <w:t>Technical failure modes: OCR may fail on rare hands or heavily degraded folios, producing downstream errors; classifiers may overfit to canonical genres. Data biases: corpus skew toward well-digitized regions (Ottoman, Mughal) risks underrepresenting Maghribi and Southeast Asian variants. Evaluation limits: inter-coder reliability may vary by code and script, reducing statistical power for small strata. Scalability: training visual and text models on high-resolution images requires substantial GPU hours and storage. Generalization limits: models trained on the pilot corpus may not transfer to different periods, dialects, or non-manuscript media (architecture, textiles). Ethical/legal constraints: institutional rights or partner MOUs may restrict sharing of images or full-texts, limiting public reproducibility. Measurement gaps: subtle or implied comparatives (borderline similes, allegory) may remain hard to detect algorithmically and may require continuous expert adjudication.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