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thermalscapes_informal_shading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Paired sensor-ethnography and spatial mixed-effects analysis of how informal shading practices alter pedestrian thermal comfort in a hot Brazilian city centre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Deployment of informal shade (awnings, tarps, vendor canopies, vegetation) causes a measurable reduction of at least 1°C in pedestrian-equivalent temperature (PET) and mean radiant temperature (Tmrt) compared to adjacent unshaded locations after controlling for air temperature, wind, surface material, and time of day.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urban microclimate and thermal comfort has developed metrics such as mean radiant temperature (Tmrt) and PET/UTCI to assess human heat stress, and used fixed sensors, mobile transects, infrared imaging, and urban canopy models (ENVI-met, SOLWEIG) to map thermal patterns. Ethnographic studies document vendor practices and social dimensions of street shading, and participatory sensing links subjective comfort to measurements. Limitations remain: (1) few human-scale datasets that pair detailed shading typology with simultaneous air, surface and radiation measurements across diurnal cycles; (2) limited temporal resolution of deployment/removal rhythms (minutes–hours) and weekend vs weekday differences; (3) most analyses omit full radiation budgets (shortwave+longwave+reflections) or treat Tmrt with globe-only proxies without rigorous emissivity correction; (4) spatial dependence is often ignored, reducing statistical validity in dense cores; (5) links between small PET/Tmrt changes and pedestrian behaviour or retail outcomes are weakly quantified. These gaps constrain causal claims about informal shade effects and policy-relevance.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informal shading practices change pedestrian thermal comfort and the sensory atmosphere of an urban consumption district in a hot Brazilian city centre. We combine ethnography and participatory methods to classify shade types and schedules, a paired sensor network (10–12 shaded/unshaded pairs) with aspirated air T/RH, black-globe thermometry, pyranometer/pyrgeometer radiation budgets, mobile transects, and radiometric drone orthomosaics. Analysis uses spatial mixed-effects and Gaussian-process models that incorporate temporal autocorrelation and spatial dependence to estimate shade effects on Tmrt and PET/UTCI and to test a pre-specified 1°C effect size. Main contributions are: (1) an open, high-resolution thermalscape dataset linking shade typology to radiation and surface temperatures; (2) a reproducible analysis pipeline with uncertainty propagation from sensor and emissivity errors into comfort metrics; and (3) policy-relevant estimates of shade impacts on pedestrian thermal stress. Expected outcomes include quantified effect sizes by shade type, spatially explicit comfort maps with uncertainty, and co-produced recommendations for low-cost shading practices.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Fixed paired network: 10–12 shaded/unshaded pairs (20–24 nodes) logging aspirated air temperature and relative humidity (30s–1min), 150 mm black-globe temperature, pyranometer and pyrgeometer for full radiation budget, synchronized by GPS/NTP for 4–6 weeks including weekdays/weekends and different seasons; (b) Mobile transects: 8–12 repeated walking transects per key time window with backpack black globe, surface thermocouples, radiometric handheld IR camera (radiometric output); (c) Drone radiometric orthomosaics and SfM 3D models; (d) Ethnographic annotations: shade typology, deployment schedules, occupancy, and perceived comfort diaries. Baselines: (1) Adjacent unshaded sites (paired control); (2) statistical baselines omitting spatial terms (mixed model without spatial random effects); (3) radiometry baseline using globe-only Tmrt vs full radiation-budget Tmrt. Evaluation metrics: mean paired difference in PET and Tmrt (°C) with 95% CI; RMSE and bias of modeled vs measured Tmrt; coverage of uncertainty intervals; p-value and effect-size (β1) significance; model selection AIC/WAIC; spatial variance explained and effective sample size. Experimental setup: pre/post lab calibration of sensors, 48–72 h field intercalibration at reference mast, fixed-node sampling at 30s–60s, mobile transects at morning, solar noon, late afternoon; compute Tmrt from full radiation balance (shortwave + longwave + reflected) and from black-globe correction for cross-check. Statistical models: primary linear mixed-effects with spatial random effects (Gaussian process or Matérn covariance) and AR(1) temporal error term: PET_ijt = β0 + β1·Shade_ij + β2·Ta_ijt + β3·Wind_ijt + β4·SurfaceProps_j + u_node + g_space(location) + w_day + ε_ijt. Causal tests: BACI (before/after × treatment) for natural or experimental shade changes. Ablations: (A1) remove longwave measurement (shortwave-only Tmrt); (A2) omit spatial random effects; (A3) vary emissivity assumptions ±0.05 in Monte Carlo; (A4) compare results using globe-only vs full radiation Tmrt. Reporting: pre-registered primary outcome = marginal β1 for PET; subgroup MDE (minimum detectable effect) tables by shade type and surface material computed by simulation-based power including spatial correlation.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Sensor failure, vandalism or theft leading to missing or biased data; calibration drift of radiometers and black globes under high humidity; uncertain emissivity values for diverse shading fabrics and pavements causing radiometric bias; strong spatial autocorrelation that reduces effective sample size and complicates inference; weather variability (clouds, rain) altering radiation budgets and limiting comparable paired observations; limited external validity beyond the studied city centre and season; behavioral confounders (crowding, vendor activities, vehicle heat) that correlate with shade presence and are hard to fully control; permit or community engagement delays that shorten campaign duration; small subgroup sample sizes limiting power to detect 1°C effects per shade type; computational scaling limits for Gaussian-process models on large spatial grids. No mitigation strategies are specified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