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spanish_wineries_resilience_ols</w:t>
      </w:r>
    </w:p>
    <w:p>
      <w:r>
        <w:t xml:space="preserve"> </w:t>
      </w:r>
    </w:p>
    <w:p>
      <w:pPr>
        <w:pStyle w:val="Heading2"/>
      </w:pPr>
      <w:r>
        <w:t>Title</w:t>
      </w:r>
    </w:p>
    <w:p>
      <w:r>
        <w:t>Quantifying resilience capacities in Spanish wineries using ordinary least squares analysis of firm attributes and perceived shocks</w:t>
      </w:r>
    </w:p>
    <w:p>
      <w:r>
        <w:t xml:space="preserve"> </w:t>
      </w:r>
    </w:p>
    <w:p>
      <w:pPr>
        <w:pStyle w:val="Heading2"/>
      </w:pPr>
      <w:r>
        <w:t>Short Hypothesis</w:t>
      </w:r>
    </w:p>
    <w:p>
      <w:r>
        <w:t>Greater internal adaptive capacity (measured by innovation activity, diversification, and rural commitment) reduces recovery time after economic or environmental shocks, holding firm size, ownership, and market exposure constant.</w:t>
      </w:r>
    </w:p>
    <w:p>
      <w:r>
        <w:t xml:space="preserve"> </w:t>
      </w:r>
    </w:p>
    <w:p>
      <w:pPr>
        <w:pStyle w:val="Heading2"/>
      </w:pPr>
      <w:r>
        <w:t>Related Work</w:t>
      </w:r>
    </w:p>
    <w:p>
      <w:r>
        <w:t>Prior work on agro‑industry and firm resilience commonly measures outcomes as shock depth, time to recovery, and cumulative loss and uses cross‑sectional or panel regressions, structural time‑series, event studies, and system simulations. Econometric studies often apply ordinary least squares (OLS) or panel fixed effects to link firm attributes to outcomes, while policy evaluations use difference‑in‑differences, synthetic controls, or instrumental variables (IV) for causal claims. Systems approaches use agent‑based models (ABM) or system dynamics (SD) to simulate multi‑shock propagation and adaptation. Limitations of existing work include reliance on aggregated or limited firm samples, weak handling of self‑reported shock measures, incomplete treatment of spillovers between firms (interference), limited integration between micro causal estimates and system simulators, and frequent endogeneity where firm attributes correlate with unobserved factors that also affect recovery. Many studies also lack clear pre‑specified tests for heterogeneous effects across size, cooperative status, or DOP certification.</w:t>
      </w:r>
    </w:p>
    <w:p>
      <w:r>
        <w:t xml:space="preserve"> </w:t>
      </w:r>
    </w:p>
    <w:p>
      <w:pPr>
        <w:pStyle w:val="Heading2"/>
      </w:pPr>
      <w:r>
        <w:t>Abstract</w:t>
      </w:r>
    </w:p>
    <w:p>
      <w:r>
        <w:t>This study measures how internal firm attributes shape resilience in rural agro‑industries by analyzing 411 Spanish wineries. We operationalize resilience as three quantitative outcomes: depth of adverse deviation, speed of recovery to baseline, and cumulative loss. Using ordinary least squares (OLS) regression (a standard linear estimation method), we estimate how size, ownership structure, innovation activity, product diversification, and rural commitment interact with perceived economic, environmental, and social shocks to determine strategic responses and recovery outcomes. The main contribution is a testable mapping from internal capacities to measurable resilience metrics with explicit heterogeneity for cooperatives, export orientation, and DOP certification. Expected outcomes include quantified effect sizes (e.g., months of recovery reduced per unit of innovation spending) and prioritized firm characteristics associated with faster recovery. Results will inform targeted policy instruments and monitoring metrics to allocate support that shortens recovery time and reduces exit risk for rural wineries.</w:t>
      </w:r>
    </w:p>
    <w:p>
      <w:r>
        <w:t xml:space="preserve"> </w:t>
      </w:r>
    </w:p>
    <w:p>
      <w:pPr>
        <w:pStyle w:val="Heading2"/>
      </w:pPr>
      <w:r>
        <w:t>Experiments</w:t>
      </w:r>
    </w:p>
    <w:p>
      <w:r>
        <w:t>Datasets: (1) Primary survey of 411 Spanish wineries with firm attributes, perceived economic/environmental/social challenges, and self‑reported strategic responses and recovery timelines; (2) Firm financials from SABI/ORBIS (balance sheet, profits, leverage); (3) Regional controls from INE/MAPA (production, employment, prices); (4) High‑frequency weather from AEMET for shock validation; (5) CAP payment records (FEGA/DG AGRI) for policy exposure. Baselines: Baseline A: simple OLS with controls (no interactions). Baseline B: OLS with firm and year fixed effects (when panel linking available). Robustness baselines: IV estimates using distance to major ports or historical vineyard suitability as instruments for export orientation (if valid), and dynamic panel (system GMM) for persistence checks. Outcomes and definitions: depth = peak % drop from baseline revenue; recovery_time = months to return to baseline revenue; cumulative_loss = sum of revenue shortfalls over recovery period. Evaluation metrics: coefficient magnitude and standard error (statistical significance), standardized effect size (beta per SD change), RMSE (root mean squared error) for predictive fit, AIC/BIC for model comparison, out‑of‑sample RMSE via 5‑fold firm holdout, placebo tests (shuffled shock timing), and balance tests for pre‑treatment covariates. Experimental setup: Primary regressions: recovery_time_i = alpha + beta1 * adaptive_capacity_i * perceived_shock_i + gamma'X_i + epsilon_i, where interaction term tests moderation; cluster standard errors at municipality or comarca and report results for both. Ablation 1: drop interaction term to measure added explanatory power (compare AIC/BIC, RMSE). Ablation 2: drop rural_commitment variable to assess its unique contribution. Comparison: contrast OLS interaction estimates with IV interaction estimates (if instrument satisfies relevance and exogeneity) and with fixed‑effects estimates. Heterogeneity analyses: run separate regressions by firm size strata (micro, small, medium, large), ownership (cooperative vs private), and DOP status. Pre‑specified diagnostics: test for heteroskedasticity, multicollinearity (VIF), and spatial autocorrelation (Moran's I) on residuals.</w:t>
      </w:r>
    </w:p>
    <w:p>
      <w:r>
        <w:t xml:space="preserve"> </w:t>
      </w:r>
    </w:p>
    <w:p>
      <w:pPr>
        <w:pStyle w:val="Heading2"/>
      </w:pPr>
      <w:r>
        <w:t>Risk Factors And Limitations</w:t>
      </w:r>
    </w:p>
    <w:p>
      <w:r>
        <w:t>Measurement error: perceived shocks and self‑reported recovery times may be biased or noisy, reducing estimate precision. Endogeneity: internal capacities may be endogenous (e.g., successful firms both invest more and recover faster), limiting causal interpretation of OLS estimates. Sample size and power: 411 firms limit power for fine subgroup analyses and detection of small effects. Linkage errors: merging survey with administrative financial records can produce mismatches that bias results. Spillovers and interference: spatial or network spillovers (e.g., cooperative support) violate no‑interference assumptions and bias estimates if unmodeled. External validity: findings may not generalize beyond Spanish wineries or to other agro‑industries. Missing data and attrition: nonrandom missingness can bias estimates. IV validity risk: candidate instruments (distance, suitability) may fail exogeneity checks, invalidating IV comparisons. Model misspecification: linear OLS with interactions may omit nonlinear dynamics or persistence captured by dynamic models, limiting interpretability of coefficients.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