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fruit_voucher_rct_nigeria_vietnam</w:t>
      </w:r>
    </w:p>
    <w:p>
      <w:r>
        <w:t xml:space="preserve"> </w:t>
      </w:r>
    </w:p>
    <w:p>
      <w:pPr>
        <w:pStyle w:val="Heading2"/>
      </w:pPr>
      <w:r>
        <w:t>Title</w:t>
      </w:r>
    </w:p>
    <w:p>
      <w:r>
        <w:t>A cluster-randomized trial of targeted fruit vouchers to increase fruit affordability and consumption in peri-urban Nigeria and Vietnam</w:t>
      </w:r>
    </w:p>
    <w:p>
      <w:r>
        <w:t xml:space="preserve"> </w:t>
      </w:r>
    </w:p>
    <w:p>
      <w:pPr>
        <w:pStyle w:val="Heading2"/>
      </w:pPr>
      <w:r>
        <w:t>Short Hypothesis</w:t>
      </w:r>
    </w:p>
    <w:p>
      <w:r>
        <w:t>Providing targeted monthly fruit vouchers equal to 30% of a household's baseline monthly fruit spending for 12 months will increase household per-capita fruit consumption (grams/day) by at least 20% relative to no vouchers.</w:t>
      </w:r>
    </w:p>
    <w:p>
      <w:r>
        <w:t xml:space="preserve"> </w:t>
      </w:r>
    </w:p>
    <w:p>
      <w:pPr>
        <w:pStyle w:val="Heading2"/>
      </w:pPr>
      <w:r>
        <w:t>Related Work</w:t>
      </w:r>
    </w:p>
    <w:p>
      <w:r>
        <w:t>Existing work has tested cash transfers, food vouchers, and price subsidies to increase food consumption and nutrition, and many studies estimate demand elasticities for fruits and vegetables. Past approaches include unconditional cash transfers, commodity-specific vouchers, and market-support interventions. Limitations in current evidence include: few randomized trials focused specifically on fruit vouchers in urban/peri-urban low- and middle-income settings; limited measurement of household-level grams/day of fruit and intra-household allocation; weak integration of market-price and vendor-level responses (price pass-through); scarce factorial tests that separate demand subsidies from supply investments; and sparse pre-specification of fraud/leakage detection and digital-offline redemption trade-offs. Many prior studies also rely on survey self-reports without linked transaction logs, making verification of redemption and leakage difficult. These gaps make it hard to predict market feedbacks and cost-effectiveness for targeted fruit subsidies.</w:t>
      </w:r>
    </w:p>
    <w:p>
      <w:r>
        <w:t xml:space="preserve"> </w:t>
      </w:r>
    </w:p>
    <w:p>
      <w:pPr>
        <w:pStyle w:val="Heading2"/>
      </w:pPr>
      <w:r>
        <w:t>Abstract</w:t>
      </w:r>
    </w:p>
    <w:p>
      <w:r>
        <w:t>We propose a cluster-randomized trial to test whether time-limited, targeted fruit vouchers increase fruit affordability and consumption among peri-urban and urban households in Nigeria and Vietnam. The intervention issues monthly digital vouchers to eligible households (pregnant/lactating women and households with children under five, and low-income urban households) covering a share of baseline fruit spending (tested at 20%, 30%, and 40%) for 12–24 months. The study links household multiple-pass 24-hour recalls, voucher redemption logs, geotagged vendor registries, and weekly market price panels to estimate consumption changes, price pass-through, and cost-effectiveness. Main contribution: combine a randomized impact evaluation with market-level monitoring and a supply-side factorial arm to identify consumer response elasticity and potential inflationary effects. Expected outcome: quantitative estimates of voucher-induced increases in fruit grams/day, impacts on dietary diversity and biomarkers where feasible, the distribution of benefits across actors (consumers vs producers), and program cost per additional serving. Results will inform scalable designs for nutrition-sensitive social protection.</w:t>
      </w:r>
    </w:p>
    <w:p>
      <w:r>
        <w:t xml:space="preserve"> </w:t>
      </w:r>
    </w:p>
    <w:p>
      <w:pPr>
        <w:pStyle w:val="Heading2"/>
      </w:pPr>
      <w:r>
        <w:t>Experiments</w:t>
      </w:r>
    </w:p>
    <w:p>
      <w:r>
        <w:t>Datasets: household modules drawn from Nigeria LSMS/NBS and Vietnam VHLSS extracts for baseline mean/SD and targeting calibration; pilot baseline surveys in 3–5 urban/peri-urban clusters per country; high-frequency market price panels (weekly retail, biweekly wholesale) in each market; vendor registry with geotagged locations; digital voucher redemption logs. Design: cluster-randomized controlled trial with clusters as neighborhood market catchments. Arms: (1) control (no voucher), (2) voucher 20% of baseline fruit spend, (3) voucher 30% of baseline spend, (4) voucher 40% of baseline spend, and a nested factorial: half of voucher clusters also receive supply-side support (cold storage/logistics grants). Optional baseline arm: unconditional cash transfer equal to voucher value for one country as a comparator. Sample size: target 40 clusters per arm × 20 households per cluster (pre-attrition), anticipating 15–20% attrition; ICC scenarios 0.02–0.08 to be finalized with LSMS/VHLSS pulls. Data collection: baseline, midline at 6 months, endline at 12 months (extendable to 24 months); 24-hour multiple-pass recalls (two non-consecutive recalls on 20–30% subsample); hemoglobin via HemoCue where feasible. Baselines: no-intervention control and cash-transfer comparator. Baseline covariates: baseline fruit grams/day, household size, wealth index, season, urbanicity. Evaluation metrics: primary = household per-capita fruit grams/day (adult-equivalent); secondary = MDD-W (minimum dietary diversity for women), fruit servings/week, household fruit expenditure, hemoglobin, child anthropometry (0–59 months), redemption rate, leakage rate, local retail and wholesale price changes. Analysis: intent-to-treat (ITT) as primary (measures effect of assignment), per-protocol as secondary (households with &gt;=60% redemption; note: per-protocol measures effect of actual use), mixed-effects linear models with cluster random effects and cluster-robust standard errors (cluster = randomization unit), fixed effects for wave and strata, covariate adjustment for baseline outcomes; pre-specified model equations in the pre-analysis plan with Benjamini-Hochberg correction for multiple secondary outcomes. Comparison/ablation study: compare voucher-only arms to voucher+supply-support arms to measure supply constraints and price pass-through; compare voucher arms to cash-transfer comparator to test price-reduction vs income-effect. Additional checks: spatial spillover tests using buffer households, event-study for price dynamics, and sensitivity analyses varying demand elasticity (−0.4 to −1.2), supply elasticity (0.1–0.4), leakage (10–30%), and admin overhead (10–30%).</w:t>
      </w:r>
    </w:p>
    <w:p>
      <w:r>
        <w:t xml:space="preserve"> </w:t>
      </w:r>
    </w:p>
    <w:p>
      <w:pPr>
        <w:pStyle w:val="Heading2"/>
      </w:pPr>
      <w:r>
        <w:t>Risk Factors And Limitations</w:t>
      </w:r>
    </w:p>
    <w:p>
      <w:r>
        <w:t>Price inflation in thin markets if voucher demand is large relative to supply; local retailers or wholesalers may capture subsidy via higher prices (price pass-through). Leakage and fraud: resale of vouchers, vendor collusion, identity fraud. Measurement error: 24-hour recall bias, intra-household sharing not observed at individual level, missing or implausible recalls. External validity: urban/peri-urban results may not generalize to rural contexts. Randomization risks: imbalance if clusters not well matched or if constrained randomization not implemented. Power uncertainty: ICC, baseline mean/SD estimates may differ from LSMS/VHLSS pulls, altering detectable effect size. Digital access constraints: beneficiaries without phones or ID may be excluded if offline fallbacks are weak. Biomarker logistics: lab capacity, cold-chain failures, and additional costs may limit biomarker collection. Ethical risks: targeting could stigmatize recipients or change intra-household allocation of food. Data governance: legal constraints on geolocation and transaction data in country law. Scalability limits: administrative costs and vendor onboarding complexity may reduce cost-effectiveness at national scale. Computational limits: market simulations depend on elasticity priors; mis-specified priors yield incorrect trigger thresholds.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