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ageing_osh_swcrt</w:t>
      </w:r>
    </w:p>
    <w:p>
      <w:r>
        <w:t xml:space="preserve"> </w:t>
      </w:r>
    </w:p>
    <w:p>
      <w:pPr>
        <w:pStyle w:val="Heading2"/>
      </w:pPr>
      <w:r>
        <w:t>Title</w:t>
      </w:r>
    </w:p>
    <w:p>
      <w:r>
        <w:t>A stepped-wedge cluster randomized trial to evaluate the impact of age-tailored occupational safety and health intervention bundles on productivity and performance in an ageing workforce</w:t>
      </w:r>
    </w:p>
    <w:p>
      <w:r>
        <w:t xml:space="preserve"> </w:t>
      </w:r>
    </w:p>
    <w:p>
      <w:pPr>
        <w:pStyle w:val="Heading2"/>
      </w:pPr>
      <w:r>
        <w:t>Short Hypothesis</w:t>
      </w:r>
    </w:p>
    <w:p>
      <w:r>
        <w:t>Implementing age-tailored occupational safety and health intervention bundles increases objective productivity (units produced per hour) by at least 10% versus usual practice among workers aged 45–74 within 6 months.</w:t>
      </w:r>
    </w:p>
    <w:p>
      <w:r>
        <w:t xml:space="preserve"> </w:t>
      </w:r>
    </w:p>
    <w:p>
      <w:pPr>
        <w:pStyle w:val="Heading2"/>
      </w:pPr>
      <w:r>
        <w:t>Related Work</w:t>
      </w:r>
    </w:p>
    <w:p>
      <w:r>
        <w:t>Existing workplace ergonomics and occupational safety studies test engineering, administrative, or training interventions singly or in small combinations. Prior trials often use individual randomization or uncontrolled before-after designs, rely on self-reported outcomes, and rarely link interventions to objective productivity logs. Process evaluation and fidelity monitoring are sparse; many studies lack standardized intervention bundles tailored to age-related changes. Economic analyses typically omit maintenance, adherence decay, and real-world implementation costs. Few studies use cluster or stepped-wedge designs that allow staggered rollout and within-cluster comparisons, and evidence on differential effects by older age bands (45–74) is limited. These gaps produce uncertainty about which multi-component bundles produce reliable productivity gains, how implementation fidelity modifies effects, and the true cost-effectiveness in real workplaces.</w:t>
      </w:r>
    </w:p>
    <w:p>
      <w:r>
        <w:t xml:space="preserve"> </w:t>
      </w:r>
    </w:p>
    <w:p>
      <w:pPr>
        <w:pStyle w:val="Heading2"/>
      </w:pPr>
      <w:r>
        <w:t>Abstract</w:t>
      </w:r>
    </w:p>
    <w:p>
      <w:r>
        <w:t>Ageing workforces face higher risk of musculoskeletal problems and performance variability; however, evidence is weak linking pragmatic, age-tailored occupational safety and health (OSH) interventions to objective productivity. We propose a stepped-wedge cluster randomized trial that evaluates co-designed intervention bundles (engineering, administrative, training, and assistive equipment) targeted to workers aged 45–74. The primary contribution is a rigorous, trial-ready protocol that (1) uses objective production logs calibrated to time-motion sampling, (2) embeds fidelity and contamination measurement, and (3) specifies SW-CRT estimands and mixed-effects analysis for within-cluster inference. Secondary contributions include a composite safety endpoint, mediation analysis of perceived safety climate and adherence, and micro-costing for 1–3 year ROI scenarios. Expected outcomes are an unbiased estimate of the average productivity effect of the bundles, quantified implementation fidelity effects, and practical sample-size and monitoring specifications to inform scale-up decisions.</w:t>
      </w:r>
    </w:p>
    <w:p>
      <w:r>
        <w:t xml:space="preserve"> </w:t>
      </w:r>
    </w:p>
    <w:p>
      <w:pPr>
        <w:pStyle w:val="Heading2"/>
      </w:pPr>
      <w:r>
        <w:t>Experiments</w:t>
      </w:r>
    </w:p>
    <w:p>
      <w:r>
        <w:t>Datasets and sources: (1) Electronic production logs / machine counters and RFID timestamps (primary source for units/hour); (2) time-motion sampling (gold-standard) on 20% of shifts during a 4-week baseline run-in; (3) occupational health records and near-miss logs (exposure hours recorded); (4) worker questionnaires: Nordic Musculoskeletal Questionnaire (NMQ) and WHO-HPQ for presenteeism; (5) functional tests: grip strength and 30s chair-stand. Trial design: stepped-wedge cluster randomized trial (SW-CRT) with 20 clusters (work areas), cluster size m≈30 workers, 5 equal-duration steps, 6-month follow-up after rollout per cluster. Randomization: clusters randomized to step order; age stratification recorded (45–54, 55–64, 65–74). Baselines and comparators: control = usual practice during pre-intervention cluster-periods; primary comparison = intervention-periods vs control-periods under intention-to-treat (ITT). Ablation study: randomly assign half of clusters (within each step block) to a sub-arm where only engineering components are deployed; remaining clusters receive full bundle—this yields an internal comparison estimating engineering-only vs full-bundle effects. Primary outcome: units produced per hour (continuous). Secondary outcomes: task cycle time, incident rate per 1,000 exposure hours, WHO-HPQ score, NMQ pain frequency score, grip strength (kg), adherence/fidelity metrics (reach, dose, adherence percentages). Primary analysis model and estimand: individual-level ITT estimand for mean difference in units/hour comparing intervention vs control averaged across periods. Fit a linear mixed-effects model: Y_ijkt = beta0 + beta1*Intervention_ijkt + sum_{p} gamma_p*Period_p + X_ijkt*theta + u_j + w_{jk} + e_ijkt, where Y is units/hour for worker k in cluster j at time t, Intervention is indicator, Period fixed effects (gamma_p) control temporal trends, X are baseline covariates (age band, shift type, comorbidity), u_j ~ N(0,sigma_u^2) is cluster random intercept, w_{jk} ~ N(0,sigma_w^2) is individual random intercept, e residual error. Explain: fixed period effects = model terms that adjust for overall time trends; random intercepts = terms capturing cluster-level and individual baseline differences. SW-CRT correlation: allow cluster-period correlation via cluster random intercept and model residual autocorrelation if needed (exchangeable within cluster-period by default). Calibration and measurement propagation: use mixed-effects calibration model linking RFID/machine counts (M) to time-motion measured units (T): T_ik = alpha0 + alpha1*M_ik + Z_ik*phi + r_i + eps_ik; estimate calibration parameters and propagate their uncertainty into the primary mixed model by multiple imputation of calibrated outcomes or by Monte Carlo draws of alpha parameters when computing standard errors. Sample-size worked example: to detect 10% relative increase with baseline mean µ and SD s (assume CV=20%), 80% power, alpha=0.05, ICC=0.03, m=30, steps=5, clusters=20 suffices (compute exact numbers in supplied spreadsheet). Missing data: multiple imputation using longitudinal mixed model predictors (baseline covariates, prior outcomes, fidelity metrics); sensitivity MNAR via pattern-mixture tipping-point anchored to plausible operational shifts (e.g., worst-case missing mean change that flips result). Contamination: compute contamination index C_jt = weighted sum of cross-trained staff proportion + recorded device sharing events; include C as covariate and run contamination-adjusted IV analysis where instrument = randomized step assignment and exclusion restriction assumes step affects outcome only via assigned intervention. Model checks and baselines: validate inter-rater reliability for time-motion (ICC or kappa &gt;0.7). Metrics and evaluation: report adjusted mean difference (units/hour) with 95% CI and p-value; secondary mixed models for other metrics; mediation analysis using counterfactual mediation (ACME/ADE) with mediator measured at mid-point. Comparison/ablations: (A) ITT main: all intervention vs control periods; (B) ablation: engineering-only vs full-bundle; (C) per-protocol analysis restricted to high-fidelity clusters (&gt;70% adherence).</w:t>
      </w:r>
    </w:p>
    <w:p>
      <w:r>
        <w:t xml:space="preserve"> </w:t>
      </w:r>
    </w:p>
    <w:p>
      <w:pPr>
        <w:pStyle w:val="Heading2"/>
      </w:pPr>
      <w:r>
        <w:t>Risk Factors And Limitations</w:t>
      </w:r>
    </w:p>
    <w:p>
      <w:r>
        <w:t>Technical failures: missing or noisy electronic production logs, RFID dropout, or unavailable video can bias objective measures. Data bias: selection bias if older or night-shift workers have lower participation; self-report measures have differential reporting by age. Measurement error: calibration model may not fully remove systematic differences between electronic logs and time-motion measures. Design limits: SW-CRT assumes no time-varying confounders correlated with step order; strong temporal shocks (e.g., sudden demand changes) reduce internal validity. Contamination: staff movement between clusters can dilute effects and invalidate IV assumptions. Statistical limits: rare injury events limit power for safety endpoints; mediation estimates rely on no unmeasured mediator–outcome confounding. Generalizability: results from specific industries or sites may not transfer to different tasks or non-manual work. Operational: adherence decay and maintenance costs may erode ROI over longer horizons, and privacy or consent constraints may limit access to video or RFID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