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circular_ecosystem_osh_pilot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cross-national evaluation of a circular-ecosystem design for improving occupational safety and health intervention adoption and outcomes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Workplaces that implement OSH interventions co-designed and delivered using a circular-ecosystem framework will have higher adoption of engineering controls and lower near-miss rates than workplaces implementing standard, non-ecosystem interventions.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OSH research has tested engineering, administrative, behavioral, organizational, digital, and policy interventions. Many studies use single-level designs that focus on individual behavior or on organizational controls without integrating country-level policy, data flows, and governance. Cross-national work has emphasized measurement and ethical standards but lacks harmonized core outcome sets and robust methods for measurement invariance across languages. Existing implementation studies often omit informal/gig workers and do not model feedback loops (how actions change systems over time). Trials frequently use single-country cluster designs with limited attention to contamination, stepped-wedge period effects, or federated privacy-preserving analytics. Limitations: weak cross-country comparability, limited inclusion of marginalized worker groups, sparse testing of system-level feedbacks, and underdeveloped protocols for federated data governance and harmonized outcomes.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Problem: Occupational safety and health (OSH) interventions often fail to account for multilevel actors, data flows, and governance, limiting adoption and cross-national learning. Approach: We introduce a circular-ecosystem perspective that reconceptualizes OSH interventions by linking macro (policy), meso (organizations and supply chains), and micro (workers and teams) levels, and then test the approach in a mixed-methods, cross-national pilot. Methods include a two-phase expert engagement to refine the framework, a harmonized core outcome set (lagging, leading, implementation, equity), and a multi-country pilot using cluster randomized and stepped-wedge designs with embedded realist process evaluation. Main contribution: a tested protocol and analytic pipeline that integrates co-design, measurement invariance testing, federated analysis (privacy-preserving cross-country models), and economic evaluation. Expected outcome: demonstration that ecosystem-designed interventions produce higher engineering-control uptake and improved safety indicators, plus transferable tools (core outcomes, SAP, federated templates) to enable scalable, comparable cross-national OSH research.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Multi-country pilot with randomized comparison arms and an embedded stepped-wedge arm where randomization is infeasible. Units: clusters = workplaces or work sites. Countries: select 4 countries representing low-, middle-, and high-income settings. Sectors: construction, healthcare, agriculture, manufacturing, transport/gig. Arms: (A) full circular-ecosystem intervention (co-design + engineering + governance + data-flow tools), (B) core technical intervention (engineering controls + standard training) without ecosystem components, (C) control/usual practice. Ablation study: compare A vs B to isolate ecosystem (co-design + governance + data flows) effect. Sample size: target 12 clusters per arm for cluster RCT examples with cluster size 50 workers, ICC assumed 0.05 (ICC = intra-cluster correlation, a measure of similarity within clusters). For stepped-wedge, use 12 clusters with monthly repeated measures. Statistical models: primary analysis by intention-to-treat using generalized linear mixed models (GLMM) with random intercepts for cluster and country; specify link function per outcome (logit for binary, log for counts). Report cluster-robust variance and use Kenward-Roger degrees-of-freedom where available. Software: R (lme4, glmmTMB, brms for Bayesian checks) and Stata for confirmatory analyses. Outcomes: primary adoption = proportion of worksites implementing defined engineering controls; primary safety outcome = near-miss rate per 1,000 worker-hours. Secondary outcomes: injury incidence, Nordic Musculoskeletal scores, NOSACQ-50 safety climate, implementation outcomes (AIM, FIM), equity metrics by gender/migrant status, economic costs. Measurement tests: conduct multi-group confirmatory factor analysis and IRT/DIF (item response theory/differential item functioning) to assess measurement invariance across languages. Missing data: use multilevel multiple imputation (MICE) with imputations m &gt;= percent_missing rule (m at least equal to % missing) and pre-specified MNAR delta grid (e.g., delta in [-0.5, 0.5] on outcome scale). Interim monitoring: single interim for efficacy when 50% information accrued; use O'Brien-Fleming alpha spending. Type I error and power sensitivity: produce tables varying ICC (0.02-0.12), cluster size CV (coefficient of variation 0.1-0.5), and loss-to-follow-up (0-30%). Contamination analysis: pre-specify instrumental-variable (IV) analyses using random assignment as instrument and report per-protocol and CACE estimates. Comparisons: report A vs C, B vs C, and A vs B with adjusted GLMM, and Bayesian hierarchical estimates to quantify country heterogeneity. Replicability: provide runnable R scripts for sample-size calculations, primary GLMM, and federated-analysis stubs.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low uptake of engineering controls due to supply-chain constraints; poor fidelity of co-design leading to weak treatment contrast. Data/evaluation biases: selection bias in cluster recruitment, nonresponse bias among informal/gig workers, social desirability in self-reported measures. Measurement issues: measurement invariance may not hold for some instruments or low-literacy modes, reducing comparability. Statistical risks: higher-than-expected ICC or cluster-size variability reducing power; period/carryover effects in stepped-wedge complicating causal inference. Privacy and governance limits: insufficient connectivity or legal barriers to federated analytics in some countries. Scalability and compute: Bayesian hierarchical and agent-based models may require substantial compute resources for calibration. Generalization limits: pilot results from selected countries/sectors may not transfer to other regulatory regimes, highly informal work settings, or to long-term chronic exposure outcomes that require longer follow-up.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