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ai_women_tourism_inclusivity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mixed-methods, participatory stepped-wedge evaluation of responsible AI interventions to reduce barriers to women entrepreneurs in tourism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Co-designed, responsible AI tools deployed with women entrepreneurs in tourism cause a measurable increase in monthly bookings per entrepreneur (≥20% relative change) within six months compared to clusters prior to deployment, under an intention-to-treat analysis.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splits into three strands: (1) AI-based marketplace and recommender systems that increase visibility and match supply to demand, (2) offline or low-bandwidth NLP and voice interfaces for low-literacy users, and (3) fairness/privacy methods and participatory design practices for responsible AI. Recommender systems improve exposure but often optimize overall engagement and can amplify existing inequalities (they favor already-visible vendors). Offline-first NLP solutions address connectivity but have limited language coverage and weak evaluation in real-world low-resource contexts. Fairness and privacy methods (e.g., parity metrics, differential privacy) provide formal constraints but have trade-offs with utility and are rarely set via local stakeholder thresholds. Participatory design studies improve acceptability but rarely integrate quantitative causal evaluation. Gaps: combined studies that link on-device/offline technical designs, stakeholder-defined fairness thresholds, and causal impact using rigorous stepped-wedge evaluation across diverse tourism contexts are missing.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tests whether responsible AI tools, co-designed with women entrepreneurs, reduce barriers to entrepreneurship in tourism. We combine qualitative field methods with a phased (stepped-wedge) experimental rollout of an offline-capable AI suite: multilingual booking assistance, transparent recommenders with stakeholder-set fairness constraints, safety-reporting channels, and a local learning assistant. Main contribution: an integrated, reproducible evaluation that measures economic outcomes (bookings, revenue), agency (decision-making and time-use), and safety incidents while auditing fairness and privacy trade-offs. We pre-specify estimands, mixed-effects models, and fairness metrics and use community governance to set numeric thresholds. Expected outcome: evidence on causal impacts of responsible AI on market access and agency for women entrepreneurs, concrete operational fairness/privacy bounds (including candidate differential-privacy ranges), and reproducible protocols for low-connectivity deployment. The study produces actionable guidance for policymakers, platforms, and NGOs seeking scalable, equitable AI interventions in tourism.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Design: Stepped-wedge cluster rollout across three site types (urban boutique, rural homestay, migrant seasonal guides) with 6 clusters per site and staggered starts every 4–6 weeks. Sample: 60 entrepreneurs per site (N≈180), stratified by persona. Data sources: (a) platform logs (bookings, impressions, cancellations, timestamps), (b) entrepreneur cashbooks reconciled by audit subsamples, (c) 7-day time-use diaries, (d) semi-structured interview transcripts and rapid ethnography notes, (e) safety incident reports (anonymized), and (f) model audit logs and provenance tags for synthetic data. Primary estimand and analysis: ITT effect on monthly bookings per entrepreneur, estimated via mixed-effects generalized linear models (GLMM) with cluster and time fixed effects; report point estimates, 95% CIs, and p-values. Secondary estimands: ITT effects on gross revenue, agency index (validated composite), weekly unpaid-care hours, and safety incident rate. Baselines: (A) no-AI control (standard NGO support), (B) AI without stakeholder fairness constraints, (C) AI with fairness constraints but without offline on-device inference. Ablations: remove safety-reporting channel, remove offline capability, vary privacy (differential privacy) strength. Fairness evaluation: compute exposure parity ratio (group exposure / reference exposure), disparate impact ratio (selection rate ratios), group calibration (calibration-in-group), subgroup AUC, and TPR parity for safety alerts. Privacy trade-off study: evaluate DP epsilon values in candidate set {0.1, 1, 10} (epsilon is a standard privacy parameter; smaller means more privacy but lower accuracy) and report utility metrics and fairness changes. Power and MDE: simulation-based power sweeps for ICC in [0.01,0.10], attrition scenarios up to 25%; report minimum detectable relative change in bookings at 80% power and alpha=0.05. Spillover analysis: collect baseline network ties and estimate indirect effects under partial interference assumptions using network-aware mixed models. Robustness checks: placebo time windows, permutation tests across cluster assignment, and per-protocol and complier-average causal effect (CACE) estimates. Pre-registration: all outcomes, estimands, model code skeletons, and multiplicity hierarchy registered before first cluster rollout. Evaluation schedule: baseline (4–6 weeks), follow-ups at 3, 6, and 9 months. Reproducibility: containerized analysis pipelines, versioned data dictionary, and open code templates for audit.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Selection bias: chosen entrepreneurs may not represent broader populations (limits external validity). Attrition and missing data: high dropout or differential missingness by persona/site can bias estimates. Spillover and contamination: information sharing between clusters may dilute treatment contrast. Data quality: cashbook inaccuracies and noisy self-reports can reduce measurement validity. Fairness-utility trade-offs: enforcing parity or strong DP (small epsilon) may reduce recommendation quality and economic gains. Synthetic language data risks: synthetic augmentation can introduce artifacts or bias if not validated by local experts. On-device compute limits: constrained model size and latency targets may reduce model expressiveness and accuracy. Safety detection errors: false positives may burden support services; false negatives may miss harms. Legal/regulatory constraints: cross-jurisdiction data laws and digital ID rules can restrict features. Generalization: results may not transfer to other tourism ecosystems or larger urban platforms. Scalability: community governance and manual audits may be resource-intensive to sustain at scale.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