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gender_norms_eldercare_thailand</w:t>
      </w:r>
    </w:p>
    <w:p>
      <w:r>
        <w:t xml:space="preserve"> </w:t>
      </w:r>
    </w:p>
    <w:p>
      <w:pPr>
        <w:pStyle w:val="Heading2"/>
      </w:pPr>
      <w:r>
        <w:t>Title</w:t>
      </w:r>
    </w:p>
    <w:p>
      <w:r>
        <w:t>Instrumental-variable and quasi-experimental analysis of how community gender norms on altruism affect unpaid elder-care provision in Thailand</w:t>
      </w:r>
    </w:p>
    <w:p>
      <w:r>
        <w:t xml:space="preserve"> </w:t>
      </w:r>
    </w:p>
    <w:p>
      <w:pPr>
        <w:pStyle w:val="Heading2"/>
      </w:pPr>
      <w:r>
        <w:t>Short Hypothesis</w:t>
      </w:r>
    </w:p>
    <w:p>
      <w:r>
        <w:t>Stronger community-level social gender norms that expect women to be altruistic cause women to provide more unpaid care hours to elderly household members.</w:t>
      </w:r>
    </w:p>
    <w:p>
      <w:r>
        <w:t xml:space="preserve"> </w:t>
      </w:r>
    </w:p>
    <w:p>
      <w:pPr>
        <w:pStyle w:val="Heading2"/>
      </w:pPr>
      <w:r>
        <w:t>Related Work</w:t>
      </w:r>
    </w:p>
    <w:p>
      <w:r>
        <w:t>Prior work documents that unpaid elder-care is concentrated among women and that local gender norms influence caregiving choices. Mixed-methods studies combine qualitative interviews with descriptive statistics to show normative expectations and gendered task allocation. Recent quantitative research uses cross-sectional regressions and small quasi-experiments to link attitudes to care outcomes but faces identification limits: norms are endogenous to local demographics and care needs, norm measures are often individual-level and noisy, community aggregation suffers from small sample bias, and many studies lack strong instruments or spatial linking across datasets. Policy-evaluation work uses difference-in-differences on welfare expansions but rarely isolates norms from service availability. Limitations across existing approaches include weak or untested exclusion assumptions for instruments, poor geocoding of norm measures to care outcomes, limited mediation tests to distinguish information versus normative channels, and insufficient checks for social-desirability bias in norm measures.</w:t>
      </w:r>
    </w:p>
    <w:p>
      <w:r>
        <w:t xml:space="preserve"> </w:t>
      </w:r>
    </w:p>
    <w:p>
      <w:pPr>
        <w:pStyle w:val="Heading2"/>
      </w:pPr>
      <w:r>
        <w:t>Abstract</w:t>
      </w:r>
    </w:p>
    <w:p>
      <w:r>
        <w:t>This study tests whether community gender norms about altruistic behavior causally affect unpaid elder-care by women in Thailand. We combine time-use and household surveys with community-level attitude data and historical instruments to identify causal effects. Primary identification strategies are (1) instrumental variables using province×cohort female schooling expansion, historical radio/TV rollout, and migration-driven gender-composition shocks; and (2) staggered difference-in-differences exploiting local program rollouts. Norms are measured as descriptive (what people do), injunctive (what people approve), and reciprocity expectations, aggregated to communities with empirical-Bayes shrinkage. Main contributions are: formal causal diagrams mapping exclusion threats, a validated norm-index with psychometric tests, and a reproducible pipeline linking microdata and geospatial archives. Expected outcomes include estimates of how a one-standard-deviation increase in pro-female-altruism norms alters hours of unpaid elder-care and the share of female caregivers, along with tests separating normative signaling from informational effects. Results will inform policy designs that aim to support caregivers without reinforcing unequal gender burdens.</w:t>
      </w:r>
    </w:p>
    <w:p>
      <w:r>
        <w:t xml:space="preserve"> </w:t>
      </w:r>
    </w:p>
    <w:p>
      <w:pPr>
        <w:pStyle w:val="Heading2"/>
      </w:pPr>
      <w:r>
        <w:t>Experiments</w:t>
      </w:r>
    </w:p>
    <w:p>
      <w:r>
        <w:t>Datasets: 1) Thai Time Use Survey (TTUS) microdata (individual and household files) for available waves containing daily activity minutes; 2) Survey of Older Persons in Thailand (SOPT) microdata with elder disability and caregiver identity; 3) Health and Welfare Survey (HWS) or Household Socioeconomic Survey (HHSES) microdata for household composition and labor supply; 4) World Values Survey (WVS) and ISSP modules for normative and altruism items; 5) Thailand Population and Housing Censuses and NSO migration modules for origin-destination flows; 6) Ministry of Education/OBEC historical schooling expansion records by province and cohort; 7) NBTC and ITU transmitter/tower installation records and broadcast coverage maps; 8) GIS shapefiles for PSUs, tambon/district boundaries and terrain data. Exact variable examples (names may vary by file): care_minutes_day (TTUS), caregiver_flag (SOPT), elder_disability_index (SOPT/HWS), hh_size, hh_age_structure, edu_years_female_cohort (census), wvs_altruism_q1..qN. Baselines: A) OLS with household and elder controls and PSU fixed effects; B) multilevel random-effects model; C) individual fixed-effects panel where repeated observations exist. Primary causal estimators: IV (2SLS, LIML; first-stage and F-stat reported), staggered DiD using Callaway &amp; Sant’Anna and Sun &amp; Abraham estimators, event-study, and matching/synthetic controls for local programs. Evaluation metrics: primary: change in unpaid care hours per day (minutes), binary caregiver probability; secondary: hours/week, share of female caregivers. Statistical diagnostics: first-stage F&gt;10, Hansen overid p-values, AR and CLR robust CIs, clustered SEs at PSU, ICC estimates. Psychometric validation: EFA → CFA, Cronbach’s alpha/omega, graded-response IRT, measurement invariance tests (configural/metric/scalar). Norm aggregation ablation: compare raw cluster means, empirical-Bayes shrinkage, and district-level aggregates. Instrument ablation: compare IV sets (schooling vs media vs migration) and report LATE heterogeneity. Channel separation: code broadcast content into normative-message index vs informational content; run mediation regressions including health knowledge outcomes. Robustness suite: placebo outcomes (childcare hours, agricultural adoption), lead tests (pre-trends), Oster and Rosenbaum bounds, sensitivity to cluster size and ICC. Power/MDE precheck (example scenario): assumed N_individuals=25,000, clusters=800, ICC=0.05, first-stage F=12 → 80% power to detect a 0.15 hour/day (~9 minutes) change. Deliverables: full code skeleton in R/Python, reproducible notebooks, tables of first-stage and reduced-form estimates, event-study plots, norm-index validation report. Comparison/ablation studies: 1) norm measure ablation (individual vs aggregated EB vs district); 2) estimator ablation (OLS vs IV vs DiD); 3) instrument ablation (schooling-only vs media-only vs migration-only).</w:t>
      </w:r>
    </w:p>
    <w:p>
      <w:r>
        <w:t xml:space="preserve"> </w:t>
      </w:r>
    </w:p>
    <w:p>
      <w:pPr>
        <w:pStyle w:val="Heading2"/>
      </w:pPr>
      <w:r>
        <w:t>Risk Factors And Limitations</w:t>
      </w:r>
    </w:p>
    <w:p>
      <w:r>
        <w:t>1) Instrument exogeneity risks: historical schooling, media rollouts, and migration shocks may affect elder-care through income or access channels (violation of exclusion). 2) Weak first-stage: instruments may poorly predict community norms, producing weak-IV bias or wide CIs. 3) Measurement error: norm items are self-reported and subject to social-desirability bias (people say what is approved). 4) Small cluster sizes: few respondents per PSU may produce noisy community aggregates and unstable empirical-Bayes estimates. 5) Spatial spillovers: norms and policies may spill across boundaries, violating stable-unit assumptions. 6) Linkage errors: mismatches when linking survey PSUs to transmitter coverage or historical records can bias assignment. 7) Data availability: archival transmitter maps, school expansion records, and programming archives may be incomplete. 8) Sample composition and generalization: results may reflect compliers (LATE) and not general population effects. 9) Confounding by household composition: migration instruments may change household structure, creating demand-side shocks that are hard to separate from norm effects. 10) Computational limits: geospatial signal models (ray-tracing) and large GIS joins can be compute- and time-intensive. 11) Ethical/data governance: linking sensitive microdata and geo-coordinates risks privacy if not fully anonymized.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