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trade_agreements_sustainable_fisheries</w:t>
      </w:r>
    </w:p>
    <w:p>
      <w:r>
        <w:t xml:space="preserve"> </w:t>
      </w:r>
    </w:p>
    <w:p>
      <w:pPr>
        <w:pStyle w:val="Heading2"/>
      </w:pPr>
      <w:r>
        <w:t>Title</w:t>
      </w:r>
    </w:p>
    <w:p>
      <w:r>
        <w:t>Estimating the causal effect of fisheries-related trade agreement provisions on marine fisheries sustainability using difference-in-differences combined with propensity score matching</w:t>
      </w:r>
    </w:p>
    <w:p>
      <w:r>
        <w:t xml:space="preserve"> </w:t>
      </w:r>
    </w:p>
    <w:p>
      <w:pPr>
        <w:pStyle w:val="Heading2"/>
      </w:pPr>
      <w:r>
        <w:t>Short Hypothesis</w:t>
      </w:r>
    </w:p>
    <w:p>
      <w:r>
        <w:t>The introduction of fisheries-related environmental provisions in a country's trade agreements causes an increase in the mean trophic level of that country's reported marine catches within five years relative to matched control countries.</w:t>
      </w:r>
    </w:p>
    <w:p>
      <w:r>
        <w:t xml:space="preserve"> </w:t>
      </w:r>
    </w:p>
    <w:p>
      <w:pPr>
        <w:pStyle w:val="Heading2"/>
      </w:pPr>
      <w:r>
        <w:t>Related Work</w:t>
      </w:r>
    </w:p>
    <w:p>
      <w:r>
        <w:t>Prior empirical work links trade policy, subsidies, and market access to fishing effort and stock status using panel regressions, bioeconomic simulations, and case studies. Other studies estimate stock responses with RFMO assessments or catch-based indicators like mean trophic level, and separate method papers propose DiD, synthetic control, and IV approaches for policy evaluation. Limitations across existing approaches include: (1) endogeneity and bias when treatment timing varies but standard two-way fixed effects (TWFE) DiD is used, producing misleading averages; (2) limited use of matching or staggered-DiD estimators to address non-random adoption; (3) coarse aggregation of outcomes that masks species- or fleet-level effects; (4) weak handling of measurement error from illegal, unreported, and unregulated (IUU) catch and record-linkage uncertainty; and (5) sparse integration of legal-text datasets on trade provisions with ecological time series, limiting causal attribution.</w:t>
      </w:r>
    </w:p>
    <w:p>
      <w:r>
        <w:t xml:space="preserve"> </w:t>
      </w:r>
    </w:p>
    <w:p>
      <w:pPr>
        <w:pStyle w:val="Heading2"/>
      </w:pPr>
      <w:r>
        <w:t>Abstract</w:t>
      </w:r>
    </w:p>
    <w:p>
      <w:r>
        <w:t>We study whether fisheries-related provisions in trade agreements change the sustainability of marine fisheries by measuring causal impacts on mean trophic level (MTL) and stock indicators. We combine a global MTL time series (1950–2018) and a coded dataset of environmental provisions in trade agreements (1947–2018) and estimate impacts with difference-in-differences (DiD) that is combined with propensity score matching (PSM) to balance treated and control units. We pre-specify staggered-adoption estimators to avoid bias from time-varying treatments and propagate measurement uncertainty from record linkage and IUU adjustments via multiple imputation. The main contribution is a reproducible empirical pipeline that links trade provision timing to ecological outcomes with clear estimands, robustness checks (synthetic control, IV), and an uncertainty-aware inference workflow. Expected outcomes are credible estimates of trade provision effects on MTL, fishing mortality, and export values, plus diagnostics that inform policy design and MRV needs for trade-linked fisheries measures.</w:t>
      </w:r>
    </w:p>
    <w:p>
      <w:r>
        <w:t xml:space="preserve"> </w:t>
      </w:r>
    </w:p>
    <w:p>
      <w:pPr>
        <w:pStyle w:val="Heading2"/>
      </w:pPr>
      <w:r>
        <w:t>Experiments</w:t>
      </w:r>
    </w:p>
    <w:p>
      <w:r>
        <w:t>Datasets: (1) Global mean trophic level (MTL) by country-year and species-group, 1950–2018; (2) Coded trade-agreement environmental provisions by agreement and entry-into-force date, 1947–2018; (3) RFMO stock assessments (SSB, F) where available; (4) national subsidy registries and budget lines; (5) customs trade flows (UN Comtrade) for seafood HS codes; (6) vessel registries and AIS/VMS tracks (Global Fishing Watch) and IUU lists; (7) governance controls (RFMO membership, rule-of-law indices). Treatment definition: country-year exposure when a trade agreement with fisheries-related provisions enters into force. Units: country-stock-year and country-year aggregated outcomes. Main estimator: Callaway &amp; Sant’Anna staggered DiD with pre-matching using propensity scores (PSM; propensity score = probability of treatment given pre-treatment covariates) on pre-trend MTL, subsidies, governance, and RFMO membership. Baselines: (A) TWFE DiD without matching; (B) DiD + PSM (main); (C) synthetic control (aggregate major treatments); (D) IV DiD using pre-specified exogenous timing instruments (budget calendar or tariff schedule dates) with diagnostics. Evaluation metrics: average treatment effect on treated (ATT) for ΔMTL with 95% CI and p-values; effects on SSB and F where available; change in export value (USD); balance metrics (standardized mean differences) after matching; pre-trend placebo p-values; minimum detectable effect (MDE) tables; sensitivity to record-linkage false-match rates. Experimental setup: pre-register estimands and event windows (±5 years), estimate PSM with common support checks, run staggered DiD, compute cluster-robust SEs at country or port level, implement multiple imputation to propagate linkage and IUU uncertainty into ATT estimates (report posterior-like intervals via bootstrap over imputations). Ablations: (1) remove PSM and compare ATT to assess matching value; (2) run TWFE vs CSA staggered DiD to show estimator bias; (3) exclude subsidy controls to test mediation; (4) include IUU-adjusted catches vs reported catches to assess measurement impact. Validation: out-of-sample prediction on holdout years and falsification tests on non-seafood commodities.</w:t>
      </w:r>
    </w:p>
    <w:p>
      <w:r>
        <w:t xml:space="preserve"> </w:t>
      </w:r>
    </w:p>
    <w:p>
      <w:pPr>
        <w:pStyle w:val="Heading2"/>
      </w:pPr>
      <w:r>
        <w:t>Risk Factors And Limitations</w:t>
      </w:r>
    </w:p>
    <w:p>
      <w:r>
        <w:t>Data coverage gaps: many countries and early years lack reliable MTL, subsidies, or RFMO data, causing sample selection. Measurement error: misreporting, IUU catch, and probabilistic record linkage create biased outcome and treatment assignment; false-match rates may propagate into estimates. Endogeneity: treatment timing may correlate with unobserved recovery efforts or political shocks, invalidating instruments or DiD assumptions. Estimator limitations: staggered adoption and heterogeneous effects complicate aggregation; TWFE can be biased. Weak instruments: budget or tariff timing may be weakly correlated with substantive enforcement changes. Generalizability: results may not apply to small-scale fisheries or regions with different governance. Scale and compute: processing AIS/VMS and probabilistic linkage requires large compute and cleaning effort. Legal/data access: confidentiality or privacy rules may restrict key microdata. Outcome interpretation limits: MTL is an aggregate indicator and can mask species- or ecosystem-level changes; ecological dynamics (lagged recruitment, ecosystem shifts) may exceed chosen event windows and reduce detectability.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