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modularity_effects_quant</w:t>
      </w:r>
    </w:p>
    <w:p>
      <w:r>
        <w:t xml:space="preserve"> </w:t>
      </w:r>
    </w:p>
    <w:p>
      <w:pPr>
        <w:pStyle w:val="Heading2"/>
      </w:pPr>
      <w:r>
        <w:t>Title</w:t>
      </w:r>
    </w:p>
    <w:p>
      <w:r>
        <w:t>A mixed-methods digital-twin and hierarchical causal inference framework for quantifying modularity effects in modular product families</w:t>
      </w:r>
    </w:p>
    <w:p>
      <w:r>
        <w:t xml:space="preserve"> </w:t>
      </w:r>
    </w:p>
    <w:p>
      <w:pPr>
        <w:pStyle w:val="Heading2"/>
      </w:pPr>
      <w:r>
        <w:t>Short Hypothesis</w:t>
      </w:r>
    </w:p>
    <w:p>
      <w:r>
        <w:t>At the product-family level, increasing interface standardization by 0.2 on a 0–1 Interface Standardization Index causes at least a 10% reduction in mean total lifecycle cost per variant within two development cycles, holding module granularity and reuse rate constant and after accounting for measured transaction costs.</w:t>
      </w:r>
    </w:p>
    <w:p>
      <w:r>
        <w:t xml:space="preserve"> </w:t>
      </w:r>
    </w:p>
    <w:p>
      <w:pPr>
        <w:pStyle w:val="Heading2"/>
      </w:pPr>
      <w:r>
        <w:t>Related Work</w:t>
      </w:r>
    </w:p>
    <w:p>
      <w:r>
        <w:t>Existing approaches to measuring modularity effects fall into two groups: single-index or scalar scoring methods, and case-study or qualitative analyses. Single-index methods reduce modularity to one number (for example an overall modularity score), which hides trade-offs across cost, quality, and time and cannot capture interaction effects. Case studies provide rich context but lack reproducibility and generalizability and often omit quantified hidden costs like coordination and standards development. Simulation studies and digital-twin research often assume MAR (missing at random) data and do not pre-register MNAR (missing not at random) sensitivity analyses, which biases estimates when supplier or contract fields are systematically missing. Power analyses are rarely published with empirical grounding, so sample-size plans are weak. Provenance and machine-readable BOM standards are inconsistently applied, reducing traceability and auditability. In sum, methods either lack multidimensional metrics, fail to address complex missing-data and identifiability issues, or lack reproducible data and power procedures.</w:t>
      </w:r>
    </w:p>
    <w:p>
      <w:r>
        <w:t xml:space="preserve"> </w:t>
      </w:r>
    </w:p>
    <w:p>
      <w:pPr>
        <w:pStyle w:val="Heading2"/>
      </w:pPr>
      <w:r>
        <w:t>Abstract</w:t>
      </w:r>
    </w:p>
    <w:p>
      <w:r>
        <w:t>Quantifying the economic and operational effects of modularity in product families is hampered by multidimensional outcomes, data gaps, hidden transaction costs, and identifiability problems. We propose an integrated framework that combines controlled digital-twin experiments, hierarchical causal inference, and pre-registered missing-data sensitivity analyses to produce reproducible, auditable estimates of modularity effects. The approach includes (1) a machine-readable BOM schema and provenance records, (2) calibrated interface-weighted coupling metrics and an Interface Standardization Index, (3) formal MNAR sensitivity strategies and imputation validation, and (4) factorial digital-twin experiments varying granularity, interface strictness, reuse, and obsolescence. Main contributions are a testable experimental protocol, published power-simulation code grounded in a pilot, and an end-to-end reproducible pipeline for cost and lifecycle impact estimation. Expected outcomes are multidimensional effect estimates with quantified uncertainty and documented limits of identifiability, enabling industry partners to make evidence-backed modularity decisions and providing a defensible methodology for cross-firm benchmarking.</w:t>
      </w:r>
    </w:p>
    <w:p>
      <w:r>
        <w:t xml:space="preserve"> </w:t>
      </w:r>
    </w:p>
    <w:p>
      <w:pPr>
        <w:pStyle w:val="Heading2"/>
      </w:pPr>
      <w:r>
        <w:t>Experiments</w:t>
      </w:r>
    </w:p>
    <w:p>
      <w:r>
        <w:t>Datasets: 1) Pilot ingestion from 4 Danish firms (min 30 interface instances each) to calibrate priors and estimate CV and ICC for TCO; 2) Confirmatory dataset of 25–40 independent product families from multiple firms with 20–60 variants per family; BOMs, interface specs, time-stamped test logs, supplier records, P&amp;L overhead aggregates, and service/repair histories. Baselines: A) single-index modularity score baseline, B) MAR-only imputation pipeline, C) models without hidden transaction costs, D) observational before-after comparisons. Metrics: primary—total lifecycle cost (TCO) per variant (currency) and mean % change; secondary—development effort (person-hours), lead time (days), defect density (defects per KLOC or per unit), Newman Q (modularity of interaction graph; higher means clearer module clusters), Interface Standardization Index (0–1), RMSE for digital-twin observables, CI coverage for key effects, and power (probability to detect 10% TCO change). Experimental design: factorial design varying four independent variables at two or three levels each: granularity (coarse/medium/fine), interface_standardization (low/medium/high), reuse_rate (low/medium/high), obsolescence_rate (low/high). Use fractional factorial if full factorial infeasible. Digital twin setup: build virtual product-family simulator parametrized by calibrated priors, fit via Bayesian MCMC with fixed RNG seeds and publish seeds; validate with k-fold time-sliced holdouts and posterior predictive checks. Causal inference: multilevel mixed-effects models with family and firm random effects, difference-in-differences for staggered changes, instrumental variables when exogenous supplier shocks exist, and synthetic controls for single-case counterfactuals. MNAR sensitivity: pre-registered selection models, pattern-mixture models, and targeted-bias bounds; decision rule: trigger MNAR analysis if variable missingness &gt;20% or missingness logistic regression p&lt;0.01 or change-in-estimate &gt;5% between MAR and complete-case. Ablation studies: 1) full pipeline vs MAR-only imputation to measure bias from ignoring MNAR; 2) full model vs no hidden-cost terms to quantify hidden-cost contribution; 3) digital twin calibrated vs uncalibrated priors to measure identifiability impact. Evaluation: report effect estimates with 90% and 95% CIs, p-values, standardized effect sizes, RMSE for predictive tasks, and power curves; publish all code, seeds, synthetic test data, and provenance metadata.</w:t>
      </w:r>
    </w:p>
    <w:p>
      <w:r>
        <w:t xml:space="preserve"> </w:t>
      </w:r>
    </w:p>
    <w:p>
      <w:pPr>
        <w:pStyle w:val="Heading2"/>
      </w:pPr>
      <w:r>
        <w:t>Risk Factors And Limitations</w:t>
      </w:r>
    </w:p>
    <w:p>
      <w:r>
        <w:t>Data access and quality: firms may withhold supplier or contract fields or provide heterogeneous BOM formats, limiting representativeness. MNAR failure modes: if missingness is strongly non-random and untestable, sensitivity bounds may remain wide and inconclusive. Identifiability: digital-twin parameter non-identifiability may prevent separating effects of granularity and interface strictness without targeted experiments. Small-sample inference: if fewer than ~25 independent families are available, power to detect 10% TCO changes may be insufficient. Hidden-cost measurement: self-reported time studies and ledger granularity may be biased or inconsistent across firms. Re-identification risk: pseudonymized datasets may still carry disclosure risk; differentially private or synthetic alternatives can degrade utility. Scalability: Bayesian MCMC calibration and large factorial simulations can be computationally intensive and slow. Generalization limits: results may not transfer across industries with fundamentally different coupling types (e.g., heavy software–hardware coupling versus purely mechanical modularity). Legal/regulatory delays: DPIA and NDA processes can create multi-week to multi-month delays that constrain pilot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