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shrinkflation_japan_unitprice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Hedonic and unit-price scanner-based estimation of shrinkflation's contribution to Japan's headline and core inflation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Persistent UPC-level net-content reductions of at least 5% cause a positive increase in unit-price inflation and raise Japan's headline CPI relative to a counterfactual where net content is held constant.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measuring shrinkflation include matched-model CPI methods (which compare identical items over time), unit-value and scanner-based unit-price indices (which compute price per standardized unit such as yen per gram), and hedonic regressions (which control for product characteristics, including content). Event-study and difference-in-differences designs have been used to estimate dynamic effects around product changes, and demand-side methods (AIDS, nested logit, BLP) are used for welfare and substitution analysis. Limitations across these methods include: CPI matched-models often lack systematic net-content tracking and can mis-classify content changes as new products or quality adjustments; hedonic models require rich covariates and can be biased if content is endogenous or mismeasured; unit-value indices can be distorted by composition and promotional effects; scanner panels can be unrepresentative without reweighting; causal inference suffers from weak or unavailable instruments and non-random UPC churn; and cross-country harmonization of units, taxes, and packaging conventions is underdeveloped.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how product-size reductions (shrinkflation) affect measured inflation in Japan by combining unit-price, matched-model, and hedonic methods on UPC-level scanner and CPI microdata. Unit-price means price per standardized unit (for example, yen per gram). Hedonic regression means a statistical model that controls for product features, including net content, to separate price changes from size or quality changes. Our approach builds a reproducible pipeline to detect persistent net-content declines (pre-specified threshold 5%, sustained over multiple periods), compute UPC-level unit-price series, estimate hedonic adjustments with content as an explicit characteristic, and construct a size-constant counterfactual CPI that holds content fixed. We will use event-study DiD and instrumented specifications (commodity input indices, exchange-rate shocks, packaging-cost spikes) to estimate causal effects on unit-price inflation and headline/core CPI. The main contribution is a fully specified, pre-registered measurement and inference protocol for Japan that yields routine shrinkflation indicators (percent shrinking, average size change, unit-price inflation, CPI contribution) and a set of reproducible experiments to quantify welfare and distributional impacts.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UPC-level scanner data for Japan with fields: UPC, product description, net content (standardized units), store/chain, date, price, promotion flag, sales quantity/value; 2) CPI microdata and sample weights; 3) household expenditure panel for linkage; 4) packaging images and OCR outputs; 5) category-level input-cost indices (sugar, dairy, oil), packaging-material price series, exchange-rate time series; 6) HS trade data for cross-border tests. Baselines: A) official matched-model CPI treatment without explicit net-content adjustment; B) unit-value index aggregated by brand-category; C) hedonic without net-content term; D) size-constant counterfactual CPI (hold content fixed). Evaluation metrics: contribution to headline/core CPI in percentage points (with 95% CI), unit-price inflation rate (yen per gram) mean and median, ATT from event-study (±12 months) with simultaneous confidence bands, RMSE and bias of hedonic predicted unit prices, first-stage F-statistics, coverage of 95% intervals, power and MDE by category. Experimental setup: 1) Shrink detection: flag UPC content decline &gt;=5% sustained &gt;=3 consecutive periods; sensitivity runs at 3% and 7%. 2) Matched-model: build UPC-level price-per-unit indices and Törnqvist/Fisher aggregations. 3) Hedonic: estimate log(unit_price_it)=α+β log(net_content_it)+γ'X_it+δ_UPC+τ_time+φ_store×time+ε_it; use LASSO for high-dimensional X and report post-selection inference. 4) Causal: event-study DiD with UPC and time fixed effects, store×time controls, clustering at manufacturer and store-chain; staggered-DiD using Sun &amp; Abraham and Callaway &amp; Sant’Anna. 5) IV: instrument content-change or shrink-treatment with category input-cost shocks, packaging-cost spikes, and exchange-rate shocks; report first-stage, partial R2, LIML and Anderson–Rubin where weak. 6) Demand/welfare: estimate AIDS and nested logit; if household-linkage available, estimate BLP with instruments for price (cost shifters and exclusion restrictions) and report Hausman-type diagnostics. 7) Reweighting: raking to national expenditure survey and propensity-score adjustments. 8) Ablations and comparisons: (a) remove hedonic content term; (b) treat content changes as new products versus proportional quality adjustment; (c) exclude promotion-flagged periods; (d) vary UPC continuity rule (text/image similarity thresholds); (e) stress-test via Monte Carlo 1,000–5,000 reps calibrated to scanner CVs, non-random UPC churn, time-varying misclassification correlated with treatment, heterogeneous timing, and seasonality; report MDEs by category and store-type. 9) Survey experiment: DCE with n=1,500 respondents stratified by income/region to estimate size-price trade-off parameters and map to welfare metrics.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access and coverage: scanner data may be proprietary, limited in coverage, or unrepresentative of national purchases; reweighting may not fully correct selection bias. 2) Measurement error and misclassification: net-content may be misrecorded, OCR may fail, and deliberate relabeling by firms can create non-classical error correlated with treatment. 3) UPC churn and continuity: frequent UPC changes complicate linking predecessors and successors and may bias event-study estimates. 4) Instrument validity: proposed instruments (commodity prices, exchange rates, packaging-cost spikes) may violate exclusion restrictions or be weak for some categories. 5) Promotion and multipack confounding: promotions and bundle conversions can mimic shrinkage signals and bias unit-price measures. 6) Demand identification limits: BLP-style estimation requires strong instruments and sufficient variation; without household-linkage or valid instruments, welfare estimates may be weakly identified. 7) Seasonal and heterogeneous timing: seasonal pack-size changes and staggered adoption across firms complicate causal attribution. 8) Legal and privacy constraints: APPI and data-sharing restrictions may prevent linkage and public release of detailed microdata. 9) Compute and reproducibility: large scanner panels, image OCR, and Bayesian models can be computationally intensive and require containerized pipelines to reproduce results. 10) External validity: results calibrated on Japan may not generalize to markets with different packaging norms, tax regimes, or retail structures.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