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age_household_inequality_cee</w:t>
      </w:r>
    </w:p>
    <w:p>
      <w:r>
        <w:t xml:space="preserve"> </w:t>
      </w:r>
    </w:p>
    <w:p>
      <w:pPr>
        <w:pStyle w:val="Heading2"/>
      </w:pPr>
      <w:r>
        <w:t>Title</w:t>
      </w:r>
    </w:p>
    <w:p>
      <w:r>
        <w:t>Decomposition and causal inference of household income inequality by age and household type in Central and Eastern Europe using survey-weighted Shapley, RIF regressions, and policy quasi-experiments</w:t>
      </w:r>
    </w:p>
    <w:p>
      <w:r>
        <w:t xml:space="preserve"> </w:t>
      </w:r>
    </w:p>
    <w:p>
      <w:pPr>
        <w:pStyle w:val="Heading2"/>
      </w:pPr>
      <w:r>
        <w:t>Short Hypothesis</w:t>
      </w:r>
    </w:p>
    <w:p>
      <w:r>
        <w:t>An increase in the share of households headed by persons aged 65+ causes an increase in equivalized disposable household income inequality (OECD-modified Gini) in Poland and Hungary over 2008–2022, relative to a counterfactual with constant within-age-group distributions.</w:t>
      </w:r>
    </w:p>
    <w:p>
      <w:r>
        <w:t xml:space="preserve"> </w:t>
      </w:r>
    </w:p>
    <w:p>
      <w:pPr>
        <w:pStyle w:val="Heading2"/>
      </w:pPr>
      <w:r>
        <w:t>Related Work</w:t>
      </w:r>
    </w:p>
    <w:p>
      <w:r>
        <w:t>Existing approaches combine decomposition methods (Kitagawa/Das Gupta components and Shapley-value allocations), RIF (Recentered Influence Function) regressions for marginal effects on inequality, and quasi-experimental designs (difference-in-differences, regression discontinuity) with microsimulation to study policy impacts. Limitations persist: many studies ignore complex survey design (stratified weights, PSU clustering, finite-population correction) when computing variances and power; top-income treatment is often ad-hoc (fixed top-coding) rather than using Pareto/Hill or generalized Pareto tail fits tied to administrative data; missing-data work rarely uses survey-weighted multiple imputation or properly integrates imputation with bootstrap for valid CIs; MNAR (missing not at random) sensitivity is under-specified and not anchored to administrative benchmarks; and administrative microdata linkage for top incomes or pensions is frequently infeasible in practice, reducing credibility. Current work also lacks unified protocols that combine decomposition, RIF, and causal inference with microsimulation calibrated to national accounts.</w:t>
      </w:r>
    </w:p>
    <w:p>
      <w:r>
        <w:t xml:space="preserve"> </w:t>
      </w:r>
    </w:p>
    <w:p>
      <w:pPr>
        <w:pStyle w:val="Heading2"/>
      </w:pPr>
      <w:r>
        <w:t>Abstract</w:t>
      </w:r>
    </w:p>
    <w:p>
      <w:r>
        <w:t>We study how demographic aging and household type changes drive household income inequality in Central and Eastern Europe (CEE). Focusing on Poland and Hungary (2008–2022) we combine survey-weighted Shapley decompositions, Recentered Influence Function (RIF) regressions, and quasi-experimental causal designs (difference-in-differences and regression discontinuity around pension eligibility) to separate composition (age-structure and household-type shares) from within-group inequality. We integrate a reproducible nested bootstrap plus multiple-imputation protocol that respects stratified weights, PSU clustering, and finite-population corrections, and apply Pareto and generalized Pareto tail models for top incomes calibrated where possible to administrative tax/pension aggregates. We add a tax-benefit microsimulation calibrated to national accounts to run counterfactuals (alternative indexation or retirement-age reforms) and to translate microsimulation scenarios into policy-relevant inequality changes. Main contributions: a survey-design-aware inferential pipeline for decomposition and causal estimation, pre-specified MNAR sensitivity anchored to admin benchmarks, and demonstrators showing how tail treatment and imputation choices affect inferences. Expected outcome: robust, policy-ready estimates of aging’s contribution to inequality across household types.</w:t>
      </w:r>
    </w:p>
    <w:p>
      <w:r>
        <w:t xml:space="preserve"> </w:t>
      </w:r>
    </w:p>
    <w:p>
      <w:pPr>
        <w:pStyle w:val="Heading2"/>
      </w:pPr>
      <w:r>
        <w:t>Experiments</w:t>
      </w:r>
    </w:p>
    <w:p>
      <w:r>
        <w:t>Datasets: EU-SILC microdata pooled 2004–2022 with focus on Poland (≈18k households/yr) and Hungary (≈10k households/yr); LIS for robustness; SHARE for older-adult validation; national panels where available; administrative aggregates (pension outlays, tax revenue) for microsim calibration. Preprocessing: harmonize variables, construct OECD-modified equivalized disposable income, derive household-type taxonomy, apply survey design variables (strata, PSU, weights, fpc). Baselines: (A) naive decomposition ignoring survey design and tail correction; (B) standard Das Gupta/Kitagawa decomposition without Shapley allocation; (C) impute-then-bootstrap pipeline. Proposed pipeline: (1) Shapley-value decomposition allocating ΔGini, ΔGE(0), ΔGE(1) to age-structure, household type, and income sources; (2) survey-weighted RIF regressions for Gini and GE metrics to estimate marginal effects of composition; (3) causal identification: DiD around country reforms with event-study (±5 years) clustered at NUTS2; RD at statutory pension ages using IK/CCT bandwidths and robust bias-corrected CIs; (4) microsimulation calibrated to national accounts reconciled within ±3%; (5) top-income handling: compare Hill/Clauset Pareto fits at p99/p99.5/p99.9 and generalized Pareto (GP) fits; where available, compare to admin-tax linkage. Inference and resampling: nested bootstrap + MI protocol (recommended: bootstrap the full imputation): for b=1..B draw cluster-aware bootstrap sample respecting stratification and fpc, run survey-weighted MICE with m=30 imputations, combine via Rubin’s rules, record estimate; use B=1000 for CI and Shapley CIs. Ablations/Comparisons: (i) bootstrap-then-impute vs impute-then-bootstrap; (ii) with vs without survey weights and PSU clustering; (iii) Pareto tail choices (p99/p99.5/p99.9) and GP fit; (iv) RIF regressions vs standard OLS on transformed inequality proxies. Evaluation metrics: Gini, GE(0) and GE(1), top1/top5/top10 income shares, 90/10 and 50/10 percentile gaps, ATT from DiD, RD local average treatment effect; report CI, bootstrap percentiles, and FDR-adjusted p-values within pre-specified families. Power and MDES: supply analytic MDES formulas (accounting for Deff, ICC, variance of RIF outcome) and Monte Carlo simulations using observed variance estimates; example detectable ΔGini ≈0.015 pooled (scenario inputs provided).</w:t>
      </w:r>
    </w:p>
    <w:p>
      <w:r>
        <w:t xml:space="preserve"> </w:t>
      </w:r>
    </w:p>
    <w:p>
      <w:pPr>
        <w:pStyle w:val="Heading2"/>
      </w:pPr>
      <w:r>
        <w:t>Risk Factors And Limitations</w:t>
      </w:r>
    </w:p>
    <w:p>
      <w:r>
        <w:t>Data access and linkage: MoU and administrative linkage can take 6–18+ months; lack of admin-tax linkage will limit top-income correction. Survey design complexity: incorrect incorporation of stratified weights, PSU clustering, or fpc will bias variance estimates and CIs. Missing data: MNAR patterns may remain plausible even after weighted MI and tipping-point analyses; sensitivity depends on quality of auxiliary benchmarks. Top-income undercoverage: Pareto/GP fits may be unstable with small top samples; results sensitive to tail model choice. Causal identification limits: DiD requires parallel trends and RD estimates are local to eligibility margins; external validity beyond pilot countries is limited. Computational cost: nested bootstrap with B=1000 and m=30 imputations is expensive (large CPU and RAM) and requires secure computing enclaves for microdata. Privacy and legal constraints: GDPR and DPIA requirements may restrict analysis modes and sharing of replication data; synthetic-data utility may be imperfect. Microsimulation assumptions: behavioral parameters and non-take-up inputs may be uncertain and affect counterfactual magnitudes.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