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soc_stock_sampling_power_design</w:t>
      </w:r>
    </w:p>
    <w:p>
      <w:r>
        <w:t xml:space="preserve"> </w:t>
      </w:r>
    </w:p>
    <w:p>
      <w:pPr>
        <w:pStyle w:val="Heading2"/>
      </w:pPr>
      <w:r>
        <w:t>Title</w:t>
      </w:r>
    </w:p>
    <w:p>
      <w:r>
        <w:t>Evaluation of sampling protocols and spatially informed power designs to detect soil organic carbon stock changes in on-farm organic field trials</w:t>
      </w:r>
    </w:p>
    <w:p>
      <w:r>
        <w:t xml:space="preserve"> </w:t>
      </w:r>
    </w:p>
    <w:p>
      <w:pPr>
        <w:pStyle w:val="Heading2"/>
      </w:pPr>
      <w:r>
        <w:t>Short Hypothesis</w:t>
      </w:r>
    </w:p>
    <w:p>
      <w:r>
        <w:t>A repeated-measures sampling protocol that includes depth-resolved %C plus replicated bulk density rings and spatially optimized plot separation will reduce the number of farms required to detect a +0.10 percentage-point increase in soil organic carbon stocks (Mg C ha−1) at 80% power, compared with a single-sample concentration-based protocol without bulk density replication.</w:t>
      </w:r>
    </w:p>
    <w:p>
      <w:r>
        <w:t xml:space="preserve"> </w:t>
      </w:r>
    </w:p>
    <w:p>
      <w:pPr>
        <w:pStyle w:val="Heading2"/>
      </w:pPr>
      <w:r>
        <w:t>Related Work</w:t>
      </w:r>
    </w:p>
    <w:p>
      <w:r>
        <w:t>Existing approaches to monitoring soil organic carbon (SOC) in agricultural trials focus mostly on concentration (%C) at a single depth and use simple clustered sample-size formulas with a single intra-class correlation (ICC). Geostatistical methods (variograms) and bulk density sampling are known in soil science but are rarely integrated into power calculations for on-farm strip trials. Prior economic and sampling tradeoff work often models composite versus individual cores but lacks up-to-date lab limit-of-quantification (LOQ) cost tradeoffs and per-sample turnaround time for German labs. Spatial sampling guidance typically gives qualitative minimum separations but not empirical semivariogram templates for temperate arable fields. Biological monitoring (earthworms, seedbank) has standardized lab and field methods, but published trials often use inconsistent taxonomic resolution, sampling timing, and replication, reducing comparability. Overall gaps: (1) conversion from %C to Mg C ha−1 with full bulk density and coarse-fragment correction is not represented in sample-size tools; (2) spatial autocorrelation is summarized by one ICC value rather than variogram-based models; (3) LOQ and lab-cost impacts on detectable SOC Δ and budgeting are not systematically quantified; (4) reproducible synthetic datasets and unit-tested code for end-to-end validation are often missing.</w:t>
      </w:r>
    </w:p>
    <w:p>
      <w:r>
        <w:t xml:space="preserve"> </w:t>
      </w:r>
    </w:p>
    <w:p>
      <w:pPr>
        <w:pStyle w:val="Heading2"/>
      </w:pPr>
      <w:r>
        <w:t>Abstract</w:t>
      </w:r>
    </w:p>
    <w:p>
      <w:r>
        <w:t>Problem: On-farm organic trials often cannot reliably detect small changes in soil organic carbon (SOC) stocks because sampling designs ignore bulk density, coarse fragments, and spatial structure, and they lack clear cost–precision tradeoffs. Approach: We develop and test a practical sampling and analysis framework that converts %C to SOC stocks (Mg C ha−1) using depth increments, replicated bulk density rings, and coarse-fragment correction; integrates empirical variogram templates to set minimum plot separations; and quantifies LOQ, lab turnaround time, and per-sample costs to compare composite versus individual-core strategies. Main contribution: A reproducible toolkit (synthetic datasets, unit-tested R scripts and an interactive allocation tool) that outputs required farms/strips for target detectable SOC Δ under varied ICCs (0.01–0.20), σ ranges, and attrition scenarios, and compares protocols by power, bias, variance, and cost. Expected outcome: Clear, testable sampling rules and realistic budgets that enable planners to choose feasible SOC monitoring protocols for 3–5 year on-farm trials and to interpret detectability limits for small SOC changes.</w:t>
      </w:r>
    </w:p>
    <w:p>
      <w:r>
        <w:t xml:space="preserve"> </w:t>
      </w:r>
    </w:p>
    <w:p>
      <w:pPr>
        <w:pStyle w:val="Heading2"/>
      </w:pPr>
      <w:r>
        <w:t>Experiments</w:t>
      </w:r>
    </w:p>
    <w:p>
      <w:r>
        <w:t>Datasets: (1) Pilot field dataset from 8 farms (north/central/south Germany), each with 3–5 randomized strips, depth samples 0–10 cm and 10–30 cm, for each plot: 5–10 soil cores bulked per depth, 3 replicated bulk density rings per plot (ring volume recorded), coarse fragment % by sieving &gt;2 mm; earthworm counts (20×20×20 cm monolith) and seedbank cores (5 cores 0–10 cm bulked) as auxiliary data. (2) Synthetic datasets: simulated fields parameterized by empirical variograms (range, sill, nugget) covering spatial autocorrelation scenarios. Baselines: (A) single-core %C concentration protocol at 0–10 cm without bulk density replication and no repeated measures; (B) repeated %C concentration with annual sampling but no bulk density replication. Proposed protocol: depth-resolved %C + replicated bulk density rings + coarse-fragment correction + repeated annual sampling and spatially optimized plot separation. Evaluation metrics: statistical power to detect ΔSOC (percent and Mg C ha−1), required number of farms and strips, bias and RMSE of Mg C ha−1 estimates, lab LOQ detection rate (probability a true Δ is above LOQ), per-detectable-effect cost (EUR per probability of detection), and time-to-result (lab turnaround days). Experimental setup: (1) Simulation sweep across ICC or variogram range values (ICC 0.01–0.20; variogram ranges 5–50 m), σ for %C (0.10–0.35%), attrition rates (0%, 10%, 20%), and effect sizes Δ% = 0.05, 0.10, 0.20. For each scenario run 5,000 Monte Carlo replicates. (2) Field analysis: compute Mg C ha−1 per plot using measured %C, bulk density, depth thickness, and coarse-fragment correction; estimate variogram parameters per farm and fit hierarchical Bayesian GLMMs with spatial random effects and repeated-measures time terms. (3) Compare protocols: ablation studies remove components sequentially (no BD rings, no repeated measures, composite sampling vs individual cores) and record changes in power, bias, and cost. (4) Sensitivity studies: test lab LOQ values (0.01–0.05% C), per-sample cost bands (EUR 20–120), and ring replication levels (1–6 rings/plot). (5) Validation: apply unit-tested R scripts to synthetic datasets to confirm expected power and error rates and to pilot data to produce real-world recommendations. Statistical models and outputs: report required farms for 80% power, 95% credible intervals for treatment effects, posterior predictive checks, and cost–precision frontiers for protocol choices.</w:t>
      </w:r>
    </w:p>
    <w:p>
      <w:r>
        <w:t xml:space="preserve"> </w:t>
      </w:r>
    </w:p>
    <w:p>
      <w:pPr>
        <w:pStyle w:val="Heading2"/>
      </w:pPr>
      <w:r>
        <w:t>Risk Factors And Limitations</w:t>
      </w:r>
    </w:p>
    <w:p>
      <w:r>
        <w:t>Measurement error: bulk density rings can be damaged by stones or roots, causing biased Mg C ha−1; laboratory %C measurement error and LOQ may be too coarse to detect small Δ (&lt;0.10%); spatial heterogeneity: strong small-scale SOC patches (high nugget) reduce power and invalidate simple ICC assumptions; sample attrition: farm drop-out or missing years reduces effective power. Data/evaluation biases: pilot farms and field-day hosts may not represent the wider organic population, producing selection bias; technician variability in earthworm or seedbank assays can add noise. Scalability and cost: high replication of bulk density rings and individual-core analyses increases costs and logistical burden, possibly making recommended designs unaffordable at scale. Computational limits: full Bayesian spatial-temporal GLMMs with large simulated ensembles may require high compute time. Generalization limits: variogram templates and cost estimates derived from German temperate loams may not generalize to other regions, soil types (e.g., peat, very stony soils), or cropping systems. Legal/privacy: GDPR constraints may limit the spatial resolution of public data releases and hinder some spatial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