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e_waste_dismantling_carbon_accounting_field</w:t>
      </w:r>
    </w:p>
    <w:p>
      <w:r>
        <w:t xml:space="preserve"> </w:t>
      </w:r>
    </w:p>
    <w:p>
      <w:pPr>
        <w:pStyle w:val="Heading2"/>
      </w:pPr>
      <w:r>
        <w:t>Title</w:t>
      </w:r>
    </w:p>
    <w:p>
      <w:r>
        <w:t>Field-based hybrid emissions measurement and life-cycle assessment for carbon footprint accounting of e-waste dismantling in China</w:t>
      </w:r>
    </w:p>
    <w:p>
      <w:r>
        <w:t xml:space="preserve"> </w:t>
      </w:r>
    </w:p>
    <w:p>
      <w:pPr>
        <w:pStyle w:val="Heading2"/>
      </w:pPr>
      <w:r>
        <w:t>Short Hypothesis</w:t>
      </w:r>
    </w:p>
    <w:p>
      <w:r>
        <w:t>Direct, site-level measurements using tracer-assisted fugitive flux methods and stack monitoring will produce emission factors that differ by more than 20% on average from existing literature-based defaults and will change the estimated cradle-to-site carbon footprint per tonne of e-waste by at least 10%.</w:t>
      </w:r>
    </w:p>
    <w:p>
      <w:r>
        <w:t xml:space="preserve"> </w:t>
      </w:r>
    </w:p>
    <w:p>
      <w:pPr>
        <w:pStyle w:val="Heading2"/>
      </w:pPr>
      <w:r>
        <w:t>Related Work</w:t>
      </w:r>
    </w:p>
    <w:p>
      <w:r>
        <w:t>Existing work on e-waste emissions and carbon accounting uses three main approaches: top-down inventories that apply literature emission factors (EFs) to activity data, small-scale field measurements of specific pollutants at a few sites, and life-cycle assessments (LCAs) that rely on background databases (e.g., ecoinvent) with few site-specific inputs. Limitations include low representativeness (few sites, limited site types), lack of tracer-based whole-site fugitive quantification, limited temporal/seasonal coverage, sparse quality-assurance and interlab validation, weak integration of socioeconomic drivers, and coarse uncertainty quantification. Tracer-release methods and high-frequency meteorology have been used in other sectors for fugitive emissions but are rarely applied to informal dismantling. LCAs frequently credit metal recovery using inconsistent allocation rules, producing divergent policy signals. Overall, prior methods lack reproducible, field-grounded EFs with quantified uncertainty and linked socio-economic covariates for informal and mixed formal/informal dismantling.</w:t>
      </w:r>
    </w:p>
    <w:p>
      <w:r>
        <w:t xml:space="preserve"> </w:t>
      </w:r>
    </w:p>
    <w:p>
      <w:pPr>
        <w:pStyle w:val="Heading2"/>
      </w:pPr>
      <w:r>
        <w:t>Abstract</w:t>
      </w:r>
    </w:p>
    <w:p>
      <w:r>
        <w:t>Accurate carbon footprinting of e-waste dismantling requires representative, field-measured emission factors and clear life-cycle rules. We propose a hybrid field-to-model approach: stratified multi-day site campaigns across typologies (informal backyard, small workshops, medium recyclers, thermal units) combining tracer-assisted fugitive flux releases, stack and fugitive gas monitoring, particulate and speciated chemical sampling, co-located high-frequency meteorology, and socioeconomic surveys. Measured site emission factors feed a process-based LCA (cradle-to-site functional unit: 1 tonne processed) with pre-registered allocation rules and Monte Carlo uncertainty propagation (5,000 iterations). Main contributions are (1) a reproducible protocol for tracer and tracerless whole-site emissions at informal dismantling sites, (2) a statistically powered EF set with uncertainty and mixed-effects models linking operational covariates to emissions, and (3) transparent LCA scenarios comparing allocation choices and downstream fate. Expected outcomes are publication-grade, policy-relevant EFs with quantified uncertainty, improved carbon footprints per tonne, and guidance for mitigation that balances environmental and socioeconomic factors.</w:t>
      </w:r>
    </w:p>
    <w:p>
      <w:r>
        <w:t xml:space="preserve"> </w:t>
      </w:r>
    </w:p>
    <w:p>
      <w:pPr>
        <w:pStyle w:val="Heading2"/>
      </w:pPr>
      <w:r>
        <w:t>Experiments</w:t>
      </w:r>
    </w:p>
    <w:p>
      <w:r>
        <w:t>Datasets: (A) Pilot dataset: 12 sites (3 per typology) with 48–72 h campaigns each; (B) Full dataset: 40 sites across 4 provinces (10 per typology) with 48–72 h campaigns and two seasonal repeats. Instruments and products collected: continuous GHG time series (CRDS; cavity ring-down spectroscopy—high-precision gas analyzer), multi-gas FTIR (Fourier-transform infrared), GC-MS/LC-MS for speciated VOCs/POPs, isokinetic stack PM samplers, real-time optical PM monitors, sorbent tubes, soil cores (0–10 cm), and 1 Hz sonic or 1-min anemometer meteorology. Socioeconomic surveys co-located with sampling. Baselines: (1) literature/default EFs currently used in Chinese and regional inventories, (2) fuel/electricity mass-balance estimates. Evaluation metrics: percent difference in EFs versus baseline, absolute carbon footprint change (kg CO2e per tonne), 95% confidence interval width, RMSE and bias of baseline vs measured EFs, coverage probability of reported intervals, Sobol total-order sensitivity indices for LCA inputs. Experimental setup: tracer-assisted releases at a subset (N=20) of sites using low-GWP PFTs (release rates from dispersion pre-runs), downwind transects with 3 crosswind lines spaced 10–20 m, sampler inlet heights 1.5 m (operator breathing zone), meteorology at 1 Hz or 1-min resolution; integrated stack sampling per EN/EPA methods. Statistical analysis: hierarchical mixed-effects models with site random effects and fixed effects (typology, throughput, fuel type, PPE use); Monte Carlo LCA (5,000 iterations) with lognormal EF distributions (pilot-derived CVs). Ablation and comparisons: (i) tracer vs tracerless mass-balance (compare EF estimates and uncertainty), (ii) allocation methods in LCA (mass vs economic vs system expansion), (iii) pilot (12 sites) vs full (40 sites) impact on uncertainty and model stability, (iv) models with vs without socioeconomic covariates to quantify explanatory power. Reporting: median and 95% interval for all key metrics, variance decomposition, and model diagnostics (AIC, conditional R2, residual plots).</w:t>
      </w:r>
    </w:p>
    <w:p>
      <w:r>
        <w:t xml:space="preserve"> </w:t>
      </w:r>
    </w:p>
    <w:p>
      <w:pPr>
        <w:pStyle w:val="Heading2"/>
      </w:pPr>
      <w:r>
        <w:t>Risk Factors And Limitations</w:t>
      </w:r>
    </w:p>
    <w:p>
      <w:r>
        <w:t>Technical failure modes: instrument malfunction, calibration drift, or laboratory delays for speciated analyses. Permitting risks: tracer release permits denied or constrained, forcing tracerless bounds with larger uncertainty. Sampling biases: selected provinces and sites may not represent all Chinese dismantling practices; informal site access and consent may limit coverage. Temporal limits: incomplete seasonal coverage increases extrapolation uncertainty. Data issues: frequent non-detects for POPs/VOCs creating censored data challenges and potential bias; socioeconomic survey non-response or misreporting. Statistical limits: high within-site variance or high ICC may require larger sample sizes than planned and reduce precision. LCA limits: background database mismatches and allocation choices (metal crediting) lead to divergent policy signals; results sensitive to provincial grid assumptions. Generalizability: findings tied to China context and selected typologies; transfer to other countries or scales requires caution. Tracer impact: tracer GWP (if high) may meaningfully add to measured CO2e and must be reported; tracer choice may constrain methods.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