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purpose_renewal_mixedmethod</w:t>
      </w:r>
    </w:p>
    <w:p>
      <w:r>
        <w:t xml:space="preserve"> </w:t>
      </w:r>
    </w:p>
    <w:p>
      <w:pPr>
        <w:pStyle w:val="Heading2"/>
      </w:pPr>
      <w:r>
        <w:t>Title</w:t>
      </w:r>
    </w:p>
    <w:p>
      <w:r>
        <w:t>Longitudinal mixed-method causal analysis of how corporate purpose affects firms' strategic renewal</w:t>
      </w:r>
    </w:p>
    <w:p>
      <w:r>
        <w:t xml:space="preserve"> </w:t>
      </w:r>
    </w:p>
    <w:p>
      <w:pPr>
        <w:pStyle w:val="Heading2"/>
      </w:pPr>
      <w:r>
        <w:t>Short Hypothesis</w:t>
      </w:r>
    </w:p>
    <w:p>
      <w:r>
        <w:t>Increasing the clarity of a firm's espoused corporate purpose causes higher manager-directed resource reallocation toward purpose-aligned projects (seizing behavior) within 12 months.</w:t>
      </w:r>
    </w:p>
    <w:p>
      <w:r>
        <w:t xml:space="preserve"> </w:t>
      </w:r>
    </w:p>
    <w:p>
      <w:pPr>
        <w:pStyle w:val="Heading2"/>
      </w:pPr>
      <w:r>
        <w:t>Related Work</w:t>
      </w:r>
    </w:p>
    <w:p>
      <w:r>
        <w:t>Prior work treats corporate purpose mainly as branding or CSR signals and uses cross-sectional text measures or single-source surveys. Another stream links dynamic capabilities (sensing, seizing, transforming) to renewal but often uses coarse proxies (patents, R&amp;D) and lacks rigorous causal tests. Existing methods rely on simple regressions, archival text counts, or single-case studies; they rarely separate espoused purpose (what firms say) from enacted purpose (what firms do) or use multi-source longitudinal data. Limitations include measurement inconsistency, common-method bias (same source for cause and effect), weak identification of causal paths (reverse causality and unobserved confounders), arbitrary event thresholds, and insufficient use of recent causal estimators for staggered treatments or small-number interventions.</w:t>
      </w:r>
    </w:p>
    <w:p>
      <w:r>
        <w:t xml:space="preserve"> </w:t>
      </w:r>
    </w:p>
    <w:p>
      <w:pPr>
        <w:pStyle w:val="Heading2"/>
      </w:pPr>
      <w:r>
        <w:t>Abstract</w:t>
      </w:r>
    </w:p>
    <w:p>
      <w:r>
        <w:t>This project studies whether and how corporate purpose drives strategic renewal. The problem: current studies do not establish causal links or explain mechanisms from purpose statements to concrete renewal actions. Our approach combines (1) psychometrically validated multi-item scales for espoused and enacted purpose and for sensing/seizing/transforming capabilities, (2) multi-source longitudinal data (annual reports, internal budgets, compensation KPIs, employee surveys, patents, financials), and (3) causal designs (field experiments that change purpose framing, staggered difference-in-differences with modern corrections, regression discontinuity, and synthetic control). The main contribution is a reproducible empirical pipeline that tests causal paths from purpose clarity to manager behavior and renewal outcomes and delivers validated measures and pre-registered diagnostics. Expected outcome: clear evidence on whether purpose framing increases manager resource shifts, how stakeholder engagement mediates effects, and robust scale instruments for future research.</w:t>
      </w:r>
    </w:p>
    <w:p>
      <w:r>
        <w:t xml:space="preserve"> </w:t>
      </w:r>
    </w:p>
    <w:p>
      <w:pPr>
        <w:pStyle w:val="Heading2"/>
      </w:pPr>
      <w:r>
        <w:t>Experiments</w:t>
      </w:r>
    </w:p>
    <w:p>
      <w:r>
        <w:t>Datasets: (1) Archival panel (10-K/annual reports text, Compustat/CRSP financials, Refinitiv/MSCI governance &amp; ESG indicators, USPTO/PatentsView patent records, Factiva news). (2) Administrative firm data (budget lines, project codes, compensation KPIs) from participating firms under DSAs. (3) Multi-wave employee/manager surveys (measuring purpose clarity, enacted practices, sensing/seizing/transforming scales). (4) Online field experiment panels for vignette tests. Baselines: (A) espoused-only text score regression (TF-IDF/topic or dictionary counts), (B) cross-sectional OLS with controls, (C) enacted-only proxies (budget share, R&amp;D). Evaluation metrics: seizing behavior = percent of discretionary budget reallocated to purpose-aligned projects; sensing capability = validated scale score (mean of items); transforming capability = validated scale score; renewal outcomes = time to first purpose-aligned revenue stream (months), exploration/exploitation ratio (patent/topic diversity), market legitimacy = abnormal returns around renewal event. Causal estimators and setups: (1) Field experiment: random assignment of purpose framing to executive strategy sessions; measure within 12 months; analyze with intent-to-treat (ITT) and complier average causal effect (CACE). (2) Staggered DiD with cohort corrections (use Sun &amp; Abraham and Borusyak-Jaravel-Spiess methods; report negative-weight diagnostics). (3) Regression discontinuity (RD) on index-inclusion thresholds with McCrary density and covariate continuity checks; use fuzzy RD where assignment imperfect. (4) Synthetic control for few treated firms with permutation/placebo inference. (5) IV-mediation: instrument espoused clarity using exogenous timing shocks (e.g., regulatory disclosure rollouts) and test mediated effect on seizing using longitudinal SEM (structural equation modeling) with bootstrap CIs. Ablations: remove enacted measures to test drop in effect size; compare continuous vs percentile-based cutpoints for portfolio changes (e.g., 10% vs 75th percentile); compare estimators (DiD variants, RD, synthetic control) and report consistency. Sample and power: pilot N&gt;=300 individual respondents for CFA; main target 50–150 firms with multi-respondent panels or N&gt;=500 firm-level observations; Monte Carlo templates preregistered for minimum detectable indirect effect ~0.15 with 80% power. Pre-registered diagnostics: balance tests, placebo windows, first-stage F&gt;10 for IV, Hansen/AR tests for GMM where used, and multiple-testing corrections (Benjamini–Hochberg) across outcomes.</w:t>
      </w:r>
    </w:p>
    <w:p>
      <w:r>
        <w:t xml:space="preserve"> </w:t>
      </w:r>
    </w:p>
    <w:p>
      <w:pPr>
        <w:pStyle w:val="Heading2"/>
      </w:pPr>
      <w:r>
        <w:t>Risk Factors And Limitations</w:t>
      </w:r>
    </w:p>
    <w:p>
      <w:r>
        <w:t>Measurement error: espoused text may not match enacted actions; enacted administrative data may be unavailable or inconsistent across firms. Endogeneity and reverse causality: renewal success may influence purpose reporting. Causal estimator pitfalls: staggered DiD can produce negative weights; RD may lack sharp cutoffs; IVs may be weak. Statistical power and sample limits: GMM and dynamic models need sufficient N and T; small-T bias may occur. Text/ML risks: class imbalance, low labeled sample per class, translation issues across languages, and annotation disagreement. Data access and privacy: DSAs can delay access &gt;6 months; administrative data may require trusted research environments. Generalizability: effects may vary by industry, firm size, and country; results may not generalize beyond sampled contexts. Threshold arbitrariness: fixed cutpoints (e.g., 10%, 5%) may be arbitrary; results require sensitivity checks. Ethical concerns: manipulation of executive framing in field experiments must have consent and IRB approval.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