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qianyang_lulc_es_uncertainty</w:t>
      </w:r>
    </w:p>
    <w:p>
      <w:r>
        <w:t xml:space="preserve"> </w:t>
      </w:r>
    </w:p>
    <w:p>
      <w:pPr>
        <w:pStyle w:val="Heading2"/>
      </w:pPr>
      <w:r>
        <w:t>Title</w:t>
      </w:r>
    </w:p>
    <w:p>
      <w:r>
        <w:t>Emulator-assisted propagation of multi-temporal land-use classification uncertainty into ecosystem service valuation for Qianyang County, China</w:t>
      </w:r>
    </w:p>
    <w:p>
      <w:r>
        <w:t xml:space="preserve"> </w:t>
      </w:r>
    </w:p>
    <w:p>
      <w:pPr>
        <w:pStyle w:val="Heading2"/>
      </w:pPr>
      <w:r>
        <w:t>Short Hypothesis</w:t>
      </w:r>
    </w:p>
    <w:p>
      <w:r>
        <w:t>Propagating per-pixel land-use classification probabilities into Monte Carlo ecosystem service valuation using an emulator surrogate will produce county-level mean monetary estimates and 95% confidence intervals that differ significantly (p &lt; 0.05) from valuations based on deterministic hard-class LULC maps.</w:t>
      </w:r>
    </w:p>
    <w:p>
      <w:r>
        <w:t xml:space="preserve"> </w:t>
      </w:r>
    </w:p>
    <w:p>
      <w:pPr>
        <w:pStyle w:val="Heading2"/>
      </w:pPr>
      <w:r>
        <w:t>Related Work</w:t>
      </w:r>
    </w:p>
    <w:p>
      <w:r>
        <w:t>Prior work combines multi-temporal optical and SAR remote sensing to produce LULC maps (methods include Random Forest for classification, time-series models like LandTrendr for change, and deep CNNs/U-Net for high-resolution segmentation). Ecosystem service (ES) valuation often uses spatial models such as InVEST (a toolkit that maps services like carbon, water yield, and sediment retention) with Monte Carlo to capture parameter uncertainty. Surrogate models (emulators) such as Gaussian Process (GP) or polynomial approximations have been used in other domains to reduce compute for sensitivity analysis (Sobol indices measure how inputs drive output variance). Limitations: (1) Most ES studies use single best-guess LULC maps and do not propagate per-pixel classification uncertainty into valuation; (2) field sampling designs often ignore spatial autocorrelation, causing over-optimistic accuracy/power; (3) deep learning descriptions often lack explicit compute, training-set size, and reproducible hyperparameter budgets; (4) emulator fidelity and early surrogate training are rarely demonstrated versus full models, leaving Sobol draw counts unjustified; (5) pollination and many non-market services lack agreed spatial mapping rules (crop dependency and foraging distance are not always specified). These gaps reduce the defensibility of monetary ES change estimates.</w:t>
      </w:r>
    </w:p>
    <w:p>
      <w:r>
        <w:t xml:space="preserve"> </w:t>
      </w:r>
    </w:p>
    <w:p>
      <w:pPr>
        <w:pStyle w:val="Heading2"/>
      </w:pPr>
      <w:r>
        <w:t>Abstract</w:t>
      </w:r>
    </w:p>
    <w:p>
      <w:r>
        <w:t>We address how land-use and land-cover (LULC) classification uncertainty affects spatial ecosystem service (ES) valuation under multi-temporal change in Qianyang County, China. Our approach integrates multi-epoch Landsat and Sentinel imagery, Sentinel-1 SAR, UAV orthomosaics, and stratified field samples to generate per-pixel LULC probability surfaces. We propagate classification uncertainty into ES models by drawing Monte Carlo realizations of LULC maps and running an emulator surrogate trained on a sample of full InVEST model runs. We compute Sobol sensitivity indices on the emulator to attribute ES variance to LULC and biophysical parameters. Main contributions: (1) a reproducible pipeline that explicitly moves per-pixel classification probabilities into monetary ES estimates; (2) a documented emulator training design and fidelity assessment versus full-model runs; (3) quantified effects of sampling design and deep-learning model scale on valuation results. Expected outcome: robust county-level ES mean estimates with calibrated 5–95% intervals, clear sensitivity ranking of drivers, and operational guidance on sampling and compute budgets for reproducible ES valuation under LULC change.</w:t>
      </w:r>
    </w:p>
    <w:p>
      <w:r>
        <w:t xml:space="preserve"> </w:t>
      </w:r>
    </w:p>
    <w:p>
      <w:pPr>
        <w:pStyle w:val="Heading2"/>
      </w:pPr>
      <w:r>
        <w:t>Experiments</w:t>
      </w:r>
    </w:p>
    <w:p>
      <w:r>
        <w:t>Datasets: Landsat TM/ETM+/OLI epochs (1990, 2000, 2010, 2020), Sentinel-2 (2015–2024) mosaics, Sentinel-1 VH/VV stacks, available Planet/Maxar if licensed, UAV multispectral orthomosaics (2–5 cm GSD) for target tiles, DEM, soil maps, county socio-economic statistics, and field plots (15 m radius). Field sampling: target n=60 plots per major class and n=100 for priority classes (irrigated cropland, orchard, native forest); plots organized in 2 km × 2 km spatial blocks. Assumed intraclass correlation ICC=0.15 and average cluster size m=6 =&gt; design effect DE=1+(m-1)*ICC=1.75; effective sample sizes: 60-&gt;34, 100-&gt;57. Baselines: (A) Deterministic LULC valuation: single hard-label LULC map via Random Forest (RF) and run InVEST; (B) Probabilistic propagation: N_MC=1000 Monte Carlo draws sampling per-pixel labels from per-pixel class probabilities and running InVEST per draw; (C) Emulator path: train emulator surrogate (Gaussian Process or Random Forest meta-model) on R training runs of full InVEST with sampled parameter sets, then run Sobol analysis with 10,000 draws on emulator; (D) High-res segmentation baseline: U-Net outputs for UAV tiles replacing RF labels locally. Evaluation metrics: Classification: per-class user’s and producer’s accuracy, F1, AUC, Brier score (probability calibration), spatial block cross-validation error. Valuation: county-level mean and median monetary ES per service and total, 5–95% percentile interval width, change in mean between methods, paired difference test (bootstrap 10,000 resamples, p&lt;0.05), RMSE and bias of emulator predictions versus withheld full-model runs, Sobol first-order and total indices stability (change &lt;5% under CV). Experimental setup: (1) Produce per-pixel probability surfaces using RF (n_estimators=500) with spatial block CV; calibrate probabilities (Platt or isotonic). (2) Generate N_MC=1000 per-pixel LULC map realizations from probabilities; run InVEST on a subset (R_full=500) of MC draws to produce training set for emulator. (3) Train emulator on R=500 full InVEST runs; validate on independent R_val=100 full runs; compute RMSE target &lt;5% of mean ES value for acceptance. (4) If emulator RMSE acceptable, run Sobol global sensitivity with 10,000 emulator evaluations; otherwise increase R. (5) Ablation studies: (a) deterministic vs probabilistic propagation, (b) emulator vs full-model (report RMSE, bias, compute time), (c) with vs without SAR inputs, (d) with vs without UAV-derived high-res labels, (e) sampling size effect: subsample field data to n=30,45,60 to test power and effective sample size. Reporting and storage: store per-realization ES rasters as compressed GeoTIFFs; summarize percentiles and CI rasters; provide reproducible script and container to reproduce R_full runs and emulator training. Compute accounting: full InVEST run time measured; emulator training GPU/CPU hours recorded. Acceptance criteria: emulator RMSE &lt;5% of mean and emulator-based CI coverage within ±3% of full-model CI on validation set.</w:t>
      </w:r>
    </w:p>
    <w:p>
      <w:r>
        <w:t xml:space="preserve"> </w:t>
      </w:r>
    </w:p>
    <w:p>
      <w:pPr>
        <w:pStyle w:val="Heading2"/>
      </w:pPr>
      <w:r>
        <w:t>Risk Factors And Limitations</w:t>
      </w:r>
    </w:p>
    <w:p>
      <w:r>
        <w:t>Technical failure modes: emulator may not reproduce nonlinear interactions in full InVEST, producing biased Sobol indices; U-Net segmentation may overfit limited UAV tiles and not generalize across county. Data and evaluation biases: field sampling may be spatially clustered despite blocks, producing residual autocorrelation; assumed ICC=0.15 may be incorrect, altering effective sample size and power. Compute and storage limits: full-model Monte Carlo (N&gt;1000) is compute-expensive and may exceed available CPU/GPU budget; emulator training requires hundreds of full runs which may be slow. Licensing and access constraints: commercial imagery (Planet/Maxar) and cadastral data may be unavailable or delayed, reducing high-res validation. Valuation limits: market price volatility, uncertain carbon price ranges, and chosen discount rate/time horizon constrain monetary comparability; non-market values (cultural, biodiversity) are inherently imprecise and sensitive to elicitation design. Field logistics: destructive biomass sampling may be infeasible at some sites due to permits or landowner refusal; cold-chain or lab capacity constraints can delay SOC analyses. Generalization limits: methods and parameter priors calibrated for Qianyang County may not transfer without recalibration to other regions with different climate, soils, or cropping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