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dvt_prophylaxis_motivation_scale</w:t>
      </w:r>
    </w:p>
    <w:p>
      <w:r>
        <w:t xml:space="preserve"> </w:t>
      </w:r>
    </w:p>
    <w:p>
      <w:pPr>
        <w:pStyle w:val="Heading2"/>
      </w:pPr>
      <w:r>
        <w:t>Title</w:t>
      </w:r>
    </w:p>
    <w:p>
      <w:r>
        <w:t>Development and validation of a motivation scale using psychometric and predictive modeling methods to predict postdischarge DVT prophylaxis adherence after hip and knee arthroplasty</w:t>
      </w:r>
    </w:p>
    <w:p>
      <w:r>
        <w:t xml:space="preserve"> </w:t>
      </w:r>
    </w:p>
    <w:p>
      <w:pPr>
        <w:pStyle w:val="Heading2"/>
      </w:pPr>
      <w:r>
        <w:t>Short Hypothesis</w:t>
      </w:r>
    </w:p>
    <w:p>
      <w:r>
        <w:t>Lower scores on the developed motivation scale cause higher probability of nonadherence (PDC &lt; 80%) to prescribed postdischarge thromboprophylaxis within 90 days after hip or knee arthroplasty.</w:t>
      </w:r>
    </w:p>
    <w:p>
      <w:r>
        <w:t xml:space="preserve"> </w:t>
      </w:r>
    </w:p>
    <w:p>
      <w:pPr>
        <w:pStyle w:val="Heading2"/>
      </w:pPr>
      <w:r>
        <w:t>Related Work</w:t>
      </w:r>
    </w:p>
    <w:p>
      <w:r>
        <w:t>Existing work includes general medication adherence instruments (for example, brief self-report scales), belief measures (for example, Beliefs about Medicines), and behavior models (Health Belief Model, self-efficacy frameworks). Prior anticoagulation research has used pharmacy refill measures and small targeted surveys to study adherence after hospitalization. Limitations across prior approaches: most scales are not specific to postdischarge thromboprophylaxis or to arthroplasty patients; many lack modern psychometric validation (no item response theory, limited factor analyses with polychoric correlations); few studies link scale scores to objective adherence data (pharmacy PDC, injection logs) or clinical VTE outcomes; instruments are often too long for EMR workflows or not tested in older adults with variable literacy; differential item functioning (item bias across groups) and measurement error from harmonizing different adherence modalities are rarely addressed. These gaps restrict predictive utility and safe clinical triage.</w:t>
      </w:r>
    </w:p>
    <w:p>
      <w:r>
        <w:t xml:space="preserve"> </w:t>
      </w:r>
    </w:p>
    <w:p>
      <w:pPr>
        <w:pStyle w:val="Heading2"/>
      </w:pPr>
      <w:r>
        <w:t>Abstract</w:t>
      </w:r>
    </w:p>
    <w:p>
      <w:r>
        <w:t>Postdischarge adherence to prescribed thromboprophylaxis after hip and knee arthroplasty is variable and affects venous thromboembolism (VTE) risk. We propose to develop and validate a brief motivation scale that measures patient factors linked to taking anticoagulants at home. The approach combines patient-centered item development, cognitive interviews in older adults, classical and modern psychometrics (exploratory and confirmatory factor analysis using polychoric correlations, followed by graded-response item response theory which models how item answers relate to an underlying trait), and predictive modeling that links scale scores to objective adherence (proportion of days covered, PDC) and symptomatic VTE. Main contributions are: a psychometrically sound scale tailored to postdischarge anticoagulation, demonstration of predictive validity against objective adherence and clinical outcomes, and prespecified clinical triage thresholds for EMR use. Expected outcomes include a validated short form suitable for discharge workflows and evidence on how motivation scores predict real-world adherence and VTE risk, enabling targeted adherence support.</w:t>
      </w:r>
    </w:p>
    <w:p>
      <w:r>
        <w:t xml:space="preserve"> </w:t>
      </w:r>
    </w:p>
    <w:p>
      <w:pPr>
        <w:pStyle w:val="Heading2"/>
      </w:pPr>
      <w:r>
        <w:t>Experiments</w:t>
      </w:r>
    </w:p>
    <w:p>
      <w:r>
        <w:t>Datasets: multicenter arthroplasty registry linked to electronic health records and pharmacy claims (retail, mail order, Medicare Part D) plus LMWH injection logs and home-nursing administration records. Substudies: cognitive interview sample n=20-30; pilot survey n=100; EFA sample n&gt;=300; CFA sample n&gt;=1,000; predictive validation cohort n=10,000-20,000 with 90-day follow-up for adherence and VTE. Baselines: MMAS-8 (self-report adherence), Beliefs about Medicines Questionnaire, and a demographics-only model. Psychometric analyses: EFA using polychoric correlations to select factors; CFA with CFI/TLI&gt;0.90 and RMSEA&lt;0.08; graded-response IRT to estimate item discrimination and threshold parameters; report Cronbach's alpha and McDonald's omega, test-retest ICC (7-14 days), test information function (TIF) and standard error of measurement (SEM) across trait. Predictive analyses: primary adherence outcome PDC&gt;=80% over 30 and 90 days; mixed-effects logistic regression (random intercepts for site and surgeon) adjusted for prespecified covariates; report adjusted odds ratios and AUC. VTE analyses: Fine-Gray competing-risk models for symptomatic VTE within 90 days (death as competing risk), report hazard ratios. Measurement-error/ harmonization: validation substudy n=500 comparing PDC vs LMWH logs; implement latent-variable bridging and measurement-error models and report sensitivity bounds. Missing data: FIML for factor models, multiple imputation (m &gt;= max(20, %missing)) for regressions, and MNAR delta-adjustment sensitivity. Ablations: compare sum-score vs IRT-based scoring; treat LMWH adherence as separate indicator vs harmonized binary; evaluate short-form (8-10 items) vs full scale. Threshold derivation: ROC and decision-curve analysis to select two triage cutoffs (sensitive and moderate), report sensitivity, specificity, NPV, PPV, and expected alert rate per 1,000 discharges. DIF analyses: ordinal logistic regression and IRT-LR tests with anchor items, flagging ΔR2&gt;0.02 and p&lt;0.01; require subgroup n&gt;=200 for detection. Preprocessing and reproducibility: preregister SAP, publish data dictionary, and version analytic code in a repository.</w:t>
      </w:r>
    </w:p>
    <w:p>
      <w:r>
        <w:t xml:space="preserve"> </w:t>
      </w:r>
    </w:p>
    <w:p>
      <w:pPr>
        <w:pStyle w:val="Heading2"/>
      </w:pPr>
      <w:r>
        <w:t>Risk Factors And Limitations</w:t>
      </w:r>
    </w:p>
    <w:p>
      <w:r>
        <w:t>Low symptomatic VTE incidence requires very large cohorts (10k-40k) to power clinical-outcome analyses, which may be infeasible. Incomplete pharmacy capture (cash payments, out-of-network fills) can bias PDC; linkage gaps will reduce sample and cause selection bias. Harmonizing LMWH injection logs with PDC introduces measurement error; latent bridging may not fully correct bias. Response bias, social desirability, and caregiver proxy differences may distort self-report; proxies may not be interchangeable with patient responses. DIF may require item removal, reducing content coverage. Missing data not missing-at-random (MNAR) could invalidate MI assumptions. EMR integration and alerting can create workflow burden and alert fatigue, limiting real-world uptake. Generalizability may be limited to English-speaking, registry-linked centers and to arthroplasty populations; scale performance in other surgeries or languages requires separate validation. Data governance, consent, and pharmacy data agreements may delay or block linkage needed for primary analyses.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