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Structural method-of-simulated-moments estimation of optimal bank capital in a dynamic corporate-finance framework</w:t>
      </w:r>
    </w:p>
    <w:p>
      <w:r>
        <w:t xml:space="preserve"> </w:t>
      </w:r>
    </w:p>
    <w:p>
      <w:pPr>
        <w:pStyle w:val="Heading2"/>
      </w:pPr>
      <w:r>
        <w:t>Short Hypothesis</w:t>
      </w:r>
    </w:p>
    <w:p>
      <w:r>
        <w:t>Holding other factors constant, banks with larger shares of uninsured funding choose higher privately optimal equity capital ratios because uninsured funding raises the marginal private benefit of capital by reducing expected distress and agency costs.</w:t>
      </w:r>
    </w:p>
    <w:p>
      <w:r>
        <w:t xml:space="preserve"> </w:t>
      </w:r>
    </w:p>
    <w:p>
      <w:pPr>
        <w:pStyle w:val="Heading2"/>
      </w:pPr>
      <w:r>
        <w:t>Related Work</w:t>
      </w:r>
    </w:p>
    <w:p>
      <w:r>
        <w:t>Existing research measures bank distress costs, agency risk, and franchise (charter) value to explain capital choices. Approaches split into: (1) reduced-form empirical studies that regress capital on spreads, deposit insurance, and bank characteristics but cannot separate endogenous channels; (2) structural corporate-finance models that derive first-order conditions for optimal capital but are often static, omit banking specifics (deposit insurance, uninsured funding, charter value), or use ad-hoc primitives without joint estimation; and (3) advanced calibration and simulation-based work that fits some moments but typically estimates primitives separately and treats PD (probability of default) or LGD (loss given default) as observed without correcting measurement error. Limitations: weak identification across overlapping channel signatures (e.g., LGD tail vs spread sensitivity), lack of a joint estimation of latent PD/LGD and structural parameters, insufficient instrument/exclusion-argument detail, and limited Monte-Carlo analysis of measurement error and functional-form misspecification.</w:t>
      </w:r>
    </w:p>
    <w:p>
      <w:r>
        <w:t xml:space="preserve"> </w:t>
      </w:r>
    </w:p>
    <w:p>
      <w:pPr>
        <w:pStyle w:val="Heading2"/>
      </w:pPr>
      <w:r>
        <w:t>Abstract</w:t>
      </w:r>
    </w:p>
    <w:p>
      <w:r>
        <w:t>We develop a structural, dynamic corporate-finance approach to estimate privately optimal bank equity capital by matching model-generated moments to data using method-of-simulated-moments (MSM). The model embeds banking specifics: insured vs uninsured funding, distress costs (linear, convex, or threshold forms), agency/risk-shifting incentives, uninsured debt pricing that depends on default risk and liquidity, charter (franchise) value, and capital adjustment costs. Main contributions are: (i) a compact, testable FOC characterization equating marginal issuance cost and marginal private benefits from distress reduction, agency mitigation, cheaper uninsured funding, and franchise protection; (ii) a joint MSM estimation that treats PD (probability of default) and LGD as latent and corrects measurement error; (iii) a Monte-Carlo design that maps identification, instrument strength, and PD noise to estimator bias, RMSE, and coverage. Expected outcome: credible estimates of primitives (distress scale and convexity, agency amplitude, spread sensitivity, franchise value) and robust policy-relevant comparative statics for capital regulation.</w:t>
      </w:r>
    </w:p>
    <w:p>
      <w:r>
        <w:t xml:space="preserve"> </w:t>
      </w:r>
    </w:p>
    <w:p>
      <w:pPr>
        <w:pStyle w:val="Heading2"/>
      </w:pPr>
      <w:r>
        <w:t>Experiments</w:t>
      </w:r>
    </w:p>
    <w:p>
      <w:r>
        <w:t>Datasets: (1) Bank regulatory filings (US FR Y-9C / Call Reports) for balance-sheet items, CET1 ratios, uninsured funding shares, loan-losses, and liquidity proxies. (2) Supervisory resolution records and LGD measures (FDIC resolution cost datasets or equivalent) for realized distress costs. (3) Market data: bond yields and CDS spreads (Markit or equivalent) and stock market data (CRSP/Compustat) for Tobin's Q (market value divided by book value). (4) Policy timing: Basel implementation schedules, deposit-insurance rule changes by jurisdiction. Baselines: (A) Reduced-form OLS regressions of CET1 on uninsured share, TobinQ, and controls; (B) IV regressions using staggered Basel timing or deposit-insurance changes as instruments; (C) Structural MSM without measurement-error correction; (D) Structural MSM with single-channel omissions (no charter F, no agency A). Evaluation metrics: parameter bias, RMSE, 95% coverage of confidence intervals, MSM objective value, moment fit errors (absolute and relative for CET1 mean, CET1 variance, mass at regulatory floor, CDS level and slope, LGD high quantile), and treatment-effect estimates for exogenous capital requirement changes. Experimental setup: estimate structural model by MSM with W matrix initialized as identity and updated using block bootstrap covariance; optimization via global heuristic (differential evolution) then local BFGS. Measurement-error correction: SIMEX (simulation-extrapolation) applied to PD proxies and alternative joint latent-state estimation via EM or Bayesian MCMC as a robustness check. Monte Carlo design: simulate DGPs with N=400 banks, T=15 years, and three distress-cost forms (linear αD in [0.02,0.2]; convex γ in [1.5,4]; threshold κbar in [0.05,0.10]); run 500 replications. Vary signal-to-noise for PD proxies across grid (SNR ∈ {0.25,0.5,1.0,2.0}) and instrument strength (first-stage F ∈ {5,10,25}). Report bias, RMSE, coverage, and power for αD, γ, B (agency amplitude), βPD (spread sensitivity), and φ (franchise scale). Ablations: (i) remove measurement-error correction; (ii) remove charter value F; (iii) fix distress cost functional form incorrectly; compare parameter recovery and MSM fit across ablations.</w:t>
      </w:r>
    </w:p>
    <w:p>
      <w:r>
        <w:t xml:space="preserve"> </w:t>
      </w:r>
    </w:p>
    <w:p>
      <w:pPr>
        <w:pStyle w:val="Heading2"/>
      </w:pPr>
      <w:r>
        <w:t>Risk Factors And Limitations</w:t>
      </w:r>
    </w:p>
    <w:p>
      <w:r>
        <w:t>Data availability and quality: supervisory LGD and PD series may be sparse or confidential, limiting direct measurement. Measurement error: PD and LGD proxies (market distances-to-default, accounting scores) are noisy; if uncorrected, estimates suffer attenuation bias. Identification collinearity: signatures of D (distress convexity), A (agency) and S (spread sensitivity) can be collinear, producing weak identification and large standard errors. Instrument weakness: staggered policy timing or deposit-insurance variation may be weak or endogenous; weak instruments yield biased IV and MSM inferences. Model misspecification: wrong functional forms (e.g., imposing linear D when true D is threshold) generate biased primitives. Computational cost: nested MSM with SIMEX or parametric bootstrap and Monte-Carlo replications is compute-intensive and requires parallelization; long run times may limit sensitivity sweeps. External validity: parameters estimated in one jurisdiction or sample period (e.g., US banks, 2000–2020) may not generalize to other regulatory regimes or crisis regimes. Policy translation limit: the model estimates private-optimal capital; welfare (social) trade-offs require additional externality modeling not estimated here. Technical terms explained simply: PD = probability the bank defaults; LGD = fraction of asset value lost at default; MSM = method-of-simulated-moments, an estimator that picks model parameters so simulated summary statistics (moments) match real-data moments.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