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satisfaction_revenue_causal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analysis of the sustained impact of customer satisfaction on bank revenue using randomized trials and dynamic panel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validated one standard deviation increase in the customer satisfaction latent index causes a positive increase in average per-customer revenue over the following 12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links customer satisfaction to revenue using correlation analyses, customer lifetime value (CLV) decompositions, survival/hazard models for retention, and machine learning for cross-sell prediction. Some studies use quasi-experimental designs (difference-in-differences, instrumental variables) or limited randomized trials for discrete interventions. Measurement strategies mix single-item benchmarks (NPS) with behavioral proxies (usage, complaints). Limitations include: (1) endogeneity and reverse causality between revenue shocks and satisfaction; (2) survey measurement error and lack of validated latent indices; (3) insufficient treatment of time-varying confounders and mediator endogeneity; (4) short horizons that do not capture persistence/fade-out; (5) weak handling of spillovers and few-cluster inference for branch-level interventions; and (6) limited transparency on privacy-utility trade-offs when publishing microdata or aggregates.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sustained improvements in customer satisfaction causally increase bank revenue. We combine randomized interventions (customer-level nudges and cluster-level staff treatments) with validated time-varying latent measurement of satisfaction and high-frequency transactional panels. Identification uses randomized ITT/CACE estimates where feasible and, elsewhere, staggered difference-in-differences, instrumental variables from exogenous operational shocks, and dynamic panel estimators to trace persistence. We decompose revenue effects into retention, cross-sell, price premium, and advocacy channels using mediation frameworks that adjust for time-varying confounding. Main contributions are: (1) a validated, time-varying latent satisfaction index that blends survey items and behavioral proxies; (2) a preregistered causal pipeline combining RCTs, robust quasi-experiments, and dynamic estimation for short/medium/long horizons; and (3) an empirically grounded CLV decomposition mapping satisfaction shocks to NPV-based decision rules. Expected outcome: credible, segment-specific elasticities of revenue to sustained satisfaction improvements and clear go/no-go thresholds for operational scaling.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Customer-week panel from a retail bank with account transactions (balances, interest, fees), product holdings, and cross-sell events; (2) CRM survey waves (multi-item satisfaction battery: overall, functional, relational, digital, resolution, perceived value, effort) and behavioral proxies (calls, complaints, sessions); (3) event log of exogenous shocks (outages, branch changes) and randomized offer assignment. Baselines: (A) observational OLS/GLM with covariates and fixed effects; (B) survival/hazard model using time-varying satisfaction but no causal design; (C) naive CLV decomposition without measurement-model correction. Interventions: customer-level randomized nudges (communication, faster resolution) and cluster-level staff training; stratified randomization by region × value decile × primary channel; validation subsample = 15% for extended survey and cognitive checks. Estimators and comparisons: RCT ITT and CACE (instrument = assignment); staggered DiD (Callaway &amp; Sant’Anna) when rollouts staggered; Arellano-Bond dynamic panel and local projections for persistence; TMLE/AIPW doubly robust estimators; causal forest for heterogeneity. Measurement: confirmatory factor analysis (CFA) to build latent index; compare models with and without behavioral proxies (ablation). Handling noncompliance/attrition: IV/CACE, IPW and IPC weights in survival; report both ATE and segment-specific effects. Metrics: 12-month ΔCLV (discounted NPV), retention rates at 3/6/12 months, hazard ratios for churn, time-to-next-product, monthly revenue per customer, referral rate, and estimated WTP/price elasticity. Power examples: detect 2 p.p. abs. retention uplift from 80%→82% requires ~10,000 customers/arm; detect $5/month revenue uplift (SD=$50) requires ~1,600 customers/arm; inflate sample by 1.5–2× for staggered designs and by design effect 1+(m−1)ICC for cluster arms. Ablations: (1) remove behavioral proxies from latent index; (2) replace randomized assignment with quasi-experimental DiD; (3) publish results with and without differential privacy noise to measure utility loss.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survey response bias and mis-measured latent scores can bias estimates. Endogeneity: reverse causality from revenue shocks to satisfaction can invalidate causal claims where randomization or valid instruments are absent. Time-varying confounding: dynamic confounders that affect both satisfaction and revenue may violate ignorability for mediation analyses. Noncompliance and attrition: imperfect receipt of interventions and dropout can reduce effective power and bias CACE estimates. Spillovers: customer-to-customer referral or branch contamination can bias customer-level randomization inference. Few-cluster arms: small numbers of branches make cluster inference fragile. Privacy-utility trade-off: differential privacy reduces re-identification risk but can degrade accuracy for small subgroups and time series. Computational cost: dynamic panel GMM, causal forests, and DP synthetic data generation require substantial compute for large panels. External validity: results from one bank, region, or segment may not generalize without transportability adjustments. Long-horizon limits: estimating persistence beyond 12 months may be underpowered within pilot windows and sensitive to model specification.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