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maternal_mediation_rankrank_latam</w:t>
      </w:r>
    </w:p>
    <w:p>
      <w:r>
        <w:t xml:space="preserve"> </w:t>
      </w:r>
    </w:p>
    <w:p>
      <w:pPr>
        <w:pStyle w:val="Heading2"/>
      </w:pPr>
      <w:r>
        <w:t>Title</w:t>
      </w:r>
    </w:p>
    <w:p>
      <w:r>
        <w:t>Rank-rank and causal mediation analysis of maternal influences on intergenerational mobility in Latin America</w:t>
      </w:r>
    </w:p>
    <w:p>
      <w:r>
        <w:t xml:space="preserve"> </w:t>
      </w:r>
    </w:p>
    <w:p>
      <w:pPr>
        <w:pStyle w:val="Heading2"/>
      </w:pPr>
      <w:r>
        <w:t>Short Hypothesis</w:t>
      </w:r>
    </w:p>
    <w:p>
      <w:r>
        <w:t>An exogenous increase in maternal years of schooling (instrumented by cohort-by-region schooling reforms) raises a child's adult socioeconomic rank, and this effect is mediated by increased maternal labor-force attachment and greater home learning stimulation.</w:t>
      </w:r>
    </w:p>
    <w:p>
      <w:r>
        <w:t xml:space="preserve"> </w:t>
      </w:r>
    </w:p>
    <w:p>
      <w:pPr>
        <w:pStyle w:val="Heading2"/>
      </w:pPr>
      <w:r>
        <w:t>Related Work</w:t>
      </w:r>
    </w:p>
    <w:p>
      <w:r>
        <w:t>Existing research on intergenerational mobility commonly uses rank‑rank regressions, intergenerational elasticity (IGE), transition matrices, sibling fixed‑effects, and policy IVs (e.g., schooling-law changes, CCT rollouts). Recent causal-work adds machine‑learning and doubly robust estimators (TMLE) for confounding control and explores decomposition methods (Shapley, Oaxaca‑Blinder, RIF) to apportion persistence. Limitations remain: (1) most studies emphasize paternal or household income rather than detailed maternal non‑economic inputs (time use, caregiving quality, mental health); (2) mediation analyses are underpowered and sensitive to unmeasured mediator–outcome confounding; (3) IV studies risk weak or invalid instruments and often lack pre-specified falsification tests; (4) cross‑country pooling faces measurement non‑invariance (different mental‑health scales, diary vs. recall time‑use) and harmonization gaps; (5) attrition and imperfect administrative linkages bias long‑run estimates. These gaps limit credible attribution of child outcomes to maternal channels across Latin America.</w:t>
      </w:r>
    </w:p>
    <w:p>
      <w:r>
        <w:t xml:space="preserve"> </w:t>
      </w:r>
    </w:p>
    <w:p>
      <w:pPr>
        <w:pStyle w:val="Heading2"/>
      </w:pPr>
      <w:r>
        <w:t>Abstract</w:t>
      </w:r>
    </w:p>
    <w:p>
      <w:r>
        <w:t>This project measures how maternal inputs causally shape intergenerational mobility in Latin America using rank‑based persistence and mediation methods. We combine rank‑rank regressions and transition matrices with causal mediation estimators to quantify how much of parental persistence flows through mothers. The primary strategy pre-registers the interventional indirect effect (a mediation estimand that represents the change in child rank if maternal mediators were shifted) and uses policy instruments (staggered schooling reforms and local maternal policy rollouts) for causal leverage. We harmonize economic and non‑economic maternal measures (education, labor attachment, time use, mental health, HOME‑like stimulation), test psychometric invariance, and construct cohort‑specific ranks. Main contributions are: (1) a reproducible pipeline for harmonized maternal inputs across multiple datasets; (2) a pre‑specified causal and mediation protocol combining IV and TMLE approaches; and (3) country‑level estimates of maternal mediated shares on adult child rank, accompanied by sensitivity bounds and policy counterfactuals. Expected outcome: robust, policy‑relevant estimates of maternal channels that inform schooling and family policies.</w:t>
      </w:r>
    </w:p>
    <w:p>
      <w:r>
        <w:t xml:space="preserve"> </w:t>
      </w:r>
    </w:p>
    <w:p>
      <w:pPr>
        <w:pStyle w:val="Heading2"/>
      </w:pPr>
      <w:r>
        <w:t>Experiments</w:t>
      </w:r>
    </w:p>
    <w:p>
      <w:r>
        <w:t>Datasets: harmonized panels and surveys across countries: DHS/MICS (maternal non‑economic measures), LSMS‑ISA (household consumption/wealth), country longitudinal birth/cohort panels where available (mother and adult child linkage), and linked administrative records where permitted. Preprocessing: harmonize income/consumption definitions, top‑code consistently, build cohort‑specific within‑cohort percentile ranks for parents and children, define adult outcome at age &gt;=25, and construct multi‑year permanent income when possible. Baselines: (A) OLS rank‑rank: Rank_child = α + β_m Rank_mother + β_f Rank_father + Xγ; (B) sibling fixed‑effects variant; (C) IV for maternal schooling using cohort‑by‑region schooling reforms (first stage and IV 2SLS); (D) TMLE mediation estimating interventional indirect effects; (E) IV‑based mediation (secondary). Evaluation metrics: rank‑rank slope β, change in percentile points, percent mediated (mediation proportion), 95% confidence intervals, first‑stage F statistic, partial R2, Hansen J p‑value (if &gt;1 instrument), Anderson‑Rubin CIs, Conley bounds, E‑values for unmeasured confounding, and bootstrap SEs clustered at community level. Ablations and comparisons: (1) TMLE mediation vs IV mediation comparison (report point differences and CI overlap); (2) drop non‑economic maternal variables to measure contribution; (3) measurement‑error correction ablation (SIMEX vs no correction); (4) pooling vs country‑specific estimates. Robustness checks: event‑study pre‑trends, placebo cohorts, alternative rank constructions, age thresholds, inverse‑probability weighting for attrition, multiple imputation for missing covariates, and multiple‑testing correction (Romano–Wolf and Benjamini–Hochberg). Reporting: pre‑registered primary estimand is interventional indirect effect; report full diagnostics and decision rules (first‑stage F&gt;10 required to present LATE estimates).</w:t>
      </w:r>
    </w:p>
    <w:p>
      <w:r>
        <w:t xml:space="preserve"> </w:t>
      </w:r>
    </w:p>
    <w:p>
      <w:pPr>
        <w:pStyle w:val="Heading2"/>
      </w:pPr>
      <w:r>
        <w:t>Risk Factors And Limitations</w:t>
      </w:r>
    </w:p>
    <w:p>
      <w:r>
        <w:t>Measurement error: time‑use diaries vs recall, differing mental‑health scales, and schooling definitions can attenuate or bias estimates; psychometric non‑invariance may prevent pooling. Instrument validity: instruments may be weak or violate exclusion (concurrent reforms, selective migration), producing biased IV estimates. Mediation power: mediated effects typically smaller and require larger effective samples; subgroup mediation (gender, indigenous status) may be underpowered. Attrition and linkage: selective sample attrition and imperfect administrative matches can bias long‑run outcomes. Unobserved confounding: mediator–outcome confounding limits causal mediation interpretation; sensitivity analyses may not fully resolve this. Generalizability: country‑specific policies and measurement differences limit cross‑country external validity. Computational limits: TMLE and Super Learner ensembles increase compute and tuning complexity. Ethical/privacy constraints: data linkage and enclave access may restrict replication and reduce sample size for some countries.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