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ecb_climate_bank_returns</w:t>
      </w:r>
    </w:p>
    <w:p>
      <w:r>
        <w:t xml:space="preserve"> </w:t>
      </w:r>
    </w:p>
    <w:p>
      <w:pPr>
        <w:pStyle w:val="Heading2"/>
      </w:pPr>
      <w:r>
        <w:t>Title</w:t>
      </w:r>
    </w:p>
    <w:p>
      <w:r>
        <w:t>Event-study and staggered difference-in-differences analysis of ECB climate-policy announcements on European banks' stock returns</w:t>
      </w:r>
    </w:p>
    <w:p>
      <w:r>
        <w:t xml:space="preserve"> </w:t>
      </w:r>
    </w:p>
    <w:p>
      <w:pPr>
        <w:pStyle w:val="Heading2"/>
      </w:pPr>
      <w:r>
        <w:t>Short Hypothesis</w:t>
      </w:r>
    </w:p>
    <w:p>
      <w:r>
        <w:t>Announcements of ECB climate-policy actions cause larger negative abnormal stock returns for banks with higher shares of loans to carbon-intensive sectors compared to banks with lower such shares.</w:t>
      </w:r>
    </w:p>
    <w:p>
      <w:r>
        <w:t xml:space="preserve"> </w:t>
      </w:r>
    </w:p>
    <w:p>
      <w:pPr>
        <w:pStyle w:val="Heading2"/>
      </w:pPr>
      <w:r>
        <w:t>Related Work</w:t>
      </w:r>
    </w:p>
    <w:p>
      <w:r>
        <w:t>Existing approaches combine event-study methods from asset pricing (measuring abnormal returns around news) and panel causal designs (difference-in-differences) to study policy or climate news effects on firm value. Prior work on climate risk pricing examines cross-sectional links between firms' carbon exposure and stock returns, often using single-event or long-horizon regression designs. Methodological work on staggered policies has developed estimators (group-time ATT) that avoid negative-weighting problems. Limitations in the existing literature include: reliance on coarse or single-source exposure measures that create measurement error; weak treatment of policy-timing endogeneity (policy announcements may be correlated with macro shocks); sparse use of high-frequency intraday timing and microstructure controls for thinly traded banks; limited application of robust staggered estimators and IV identification in the same study. These gaps reduce confidence in causal interpretation and the precision of economic magnitudes.</w:t>
      </w:r>
    </w:p>
    <w:p>
      <w:r>
        <w:t xml:space="preserve"> </w:t>
      </w:r>
    </w:p>
    <w:p>
      <w:pPr>
        <w:pStyle w:val="Heading2"/>
      </w:pPr>
      <w:r>
        <w:t>Abstract</w:t>
      </w:r>
    </w:p>
    <w:p>
      <w:r>
        <w:t>This study estimates how ECB climate-policy announcements affect listed European banks' stock returns. We combine high-frequency event-study methods with staggered difference-in-differences (group-time ATT) to identify immediate and dynamic equity responses, and use instrumental variables and measurement-error correction to address exposure mismeasurement. The core contribution is a preregistered, reproducible pipeline that links a coded ECB climate-event database to harmonized bank-level climate exposures (loan-book carbon share, carbon intensity, transition-risk scores) and bank fundamentals. We report cumulative abnormal returns (CARs) for short windows (daily and intraday) and estimate treatment effects across banks with differing carbon exposure, decomposing factor-driven versus idiosyncratic channels (using Fama-French factors plus sovereign spread). Expected outcomes are credible, well-powered estimates of heterogeneous pricing effects and clear economic translations (market-cap change and CET1-equivalent impacts) to inform supervisors and investors. Technical terms: CAR (cumulative abnormal return, the sum of returns beyond expected market moves), ATT (average treatment effect on the treated).</w:t>
      </w:r>
    </w:p>
    <w:p>
      <w:r>
        <w:t xml:space="preserve"> </w:t>
      </w:r>
    </w:p>
    <w:p>
      <w:pPr>
        <w:pStyle w:val="Heading2"/>
      </w:pPr>
      <w:r>
        <w:t>Experiments</w:t>
      </w:r>
    </w:p>
    <w:p>
      <w:r>
        <w:t>Datasets: equity prices and intraday where available from Refinitiv/Bloomberg/Datastream; bank fundamentals and capital ratios from Orbis Bank Focus/Bankscope and ECB supervisory releases; loan-level or sectoral lending footprints from bank reports or Orbis; climate exposures from Trucost/ISS-ESG/CDP; regional historical carbon intensity from Eurostat/EDGAR. Sample: listed EU banks with &gt;=250 trading days pre-event; timestamp alignment to UTC. Primary event-list: coded ECB climate-policy announcements with exact time and metadata; exclude events with non-climate ECB major announcements within ±30 minutes (flagged sample retained for robustness). Baselines: 1) market-model CAR (estimation window [-250,-31] trading days) using Eurostoxx or broad market proxy; 2) matched-portfolio CAR (peers matched on size and pre-event beta); 3) panel OLS DID (bank and time fixed effects); 4) staggered DID (Callaway &amp; Sant’Anna); 5) IV 2SLS using lending-weighted historical regional carbon intensity as instrument. Event windows: intraday immediate (minute/hour if available) and daily [-1,+1], [-5,+5]. Risk-adjustment factors: market excess return, SMB, HML, MOM, term spread, sovereign spread. Metrics: CAR% and standard error, ATT (percentage points), t-statistics, Romano-Wolf adjusted p-values, economic magnitudes (market-cap change in EUR, CET1 percentage-point equivalent). Robustness and ablations: (A) drop microstructure controls vs include (volume, bid-ask, Amihud illiquidity); (B) exposure definition ablation (loan-share vs carbon intensity vs transition score); (C) OLS vs SIMEX-corrected vs IV; (D) clustering choices (bank only, two-way bank×event, wild cluster bootstrap). Power analysis: compute MDE analytically and Monte-Carlo with observed sd(CAR) and corrected for Romano-Wolf multiple-testing. Inference defaults: two-way clustering bank×event where feasible, wild cluster bootstrap when cluster count small.</w:t>
      </w:r>
    </w:p>
    <w:p>
      <w:r>
        <w:t xml:space="preserve"> </w:t>
      </w:r>
    </w:p>
    <w:p>
      <w:pPr>
        <w:pStyle w:val="Heading2"/>
      </w:pPr>
      <w:r>
        <w:t>Risk Factors And Limitations</w:t>
      </w:r>
    </w:p>
    <w:p>
      <w:r>
        <w:t>Measurement error in bank climate exposure (loan-footprint mapping and third-party scores may be noisy), which can attenuate estimates. Endogeneity of ECB timing (announcements may co-occur with macro shocks or banking stress), limiting causal claims. Overlapping or simultaneous news (other ECB or macro announcements) can confound short-window CARs. Thin trading and microstructure noise for smaller banks (biases intraday/daily abnormal returns). Weak instruments risk (historical regional carbon intensity may be weakly correlated with contemporary loan shares). Sample selection and attrition (listed banks only, cross-listings, ADRs) limit generalizability to full banking sector. Cross-country heterogeneity in regulation and market structure complicates pooling. Data licensing and access restrictions may prevent full public replication. Computational load for intraday processing and SIMEX simulations may be high for large samples.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